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4A2F" w:rsidRPr="00F621BC" w:rsidRDefault="00824A2F" w:rsidP="00824A2F">
      <w:pPr>
        <w:tabs>
          <w:tab w:val="left" w:pos="851"/>
        </w:tabs>
        <w:jc w:val="center"/>
        <w:rPr>
          <w:b/>
          <w:color w:val="000000"/>
          <w:sz w:val="48"/>
          <w:szCs w:val="72"/>
        </w:rPr>
      </w:pPr>
      <w:r w:rsidRPr="00F621BC">
        <w:rPr>
          <w:b/>
          <w:color w:val="000000"/>
          <w:sz w:val="48"/>
          <w:szCs w:val="72"/>
        </w:rPr>
        <w:t xml:space="preserve">KUPIŠKIO RAJONO APYLINKĖS TEISMO </w:t>
      </w:r>
    </w:p>
    <w:p w:rsidR="00824A2F" w:rsidRPr="00F621BC" w:rsidRDefault="00824A2F" w:rsidP="00824A2F">
      <w:pPr>
        <w:tabs>
          <w:tab w:val="left" w:pos="851"/>
        </w:tabs>
        <w:jc w:val="center"/>
        <w:rPr>
          <w:b/>
          <w:color w:val="000000"/>
          <w:sz w:val="48"/>
          <w:szCs w:val="72"/>
        </w:rPr>
      </w:pPr>
      <w:r w:rsidRPr="00F621BC">
        <w:rPr>
          <w:b/>
          <w:color w:val="000000"/>
          <w:sz w:val="48"/>
          <w:szCs w:val="72"/>
        </w:rPr>
        <w:t xml:space="preserve">2017 METŲ </w:t>
      </w:r>
    </w:p>
    <w:p w:rsidR="00824A2F" w:rsidRPr="00F621BC" w:rsidRDefault="00824A2F" w:rsidP="00824A2F">
      <w:pPr>
        <w:tabs>
          <w:tab w:val="left" w:pos="851"/>
        </w:tabs>
        <w:jc w:val="center"/>
        <w:rPr>
          <w:b/>
          <w:color w:val="000000"/>
          <w:sz w:val="48"/>
          <w:szCs w:val="72"/>
        </w:rPr>
      </w:pPr>
      <w:r w:rsidRPr="00F621BC">
        <w:rPr>
          <w:b/>
          <w:color w:val="000000"/>
          <w:sz w:val="48"/>
          <w:szCs w:val="72"/>
        </w:rPr>
        <w:t>DARBO APŽVALGA</w:t>
      </w:r>
    </w:p>
    <w:p w:rsidR="00824A2F" w:rsidRPr="00F621BC" w:rsidRDefault="00824A2F" w:rsidP="00824A2F">
      <w:pPr>
        <w:tabs>
          <w:tab w:val="left" w:pos="851"/>
        </w:tabs>
        <w:spacing w:line="360" w:lineRule="auto"/>
        <w:ind w:left="1215"/>
        <w:contextualSpacing/>
        <w:jc w:val="both"/>
        <w:rPr>
          <w:color w:val="000000"/>
          <w:sz w:val="32"/>
          <w:szCs w:val="32"/>
        </w:rPr>
      </w:pPr>
    </w:p>
    <w:p w:rsidR="00824A2F" w:rsidRPr="00F621BC" w:rsidRDefault="00824A2F" w:rsidP="00824A2F">
      <w:pPr>
        <w:tabs>
          <w:tab w:val="left" w:pos="851"/>
        </w:tabs>
        <w:spacing w:line="360" w:lineRule="auto"/>
        <w:ind w:left="1215"/>
        <w:contextualSpacing/>
        <w:jc w:val="both"/>
        <w:rPr>
          <w:color w:val="000000"/>
          <w:sz w:val="32"/>
          <w:szCs w:val="32"/>
        </w:rPr>
      </w:pPr>
    </w:p>
    <w:p w:rsidR="00824A2F" w:rsidRPr="00F621BC" w:rsidRDefault="00824A2F" w:rsidP="00824A2F">
      <w:pPr>
        <w:tabs>
          <w:tab w:val="left" w:pos="851"/>
        </w:tabs>
        <w:spacing w:line="360" w:lineRule="auto"/>
        <w:ind w:left="1215"/>
        <w:contextualSpacing/>
        <w:jc w:val="both"/>
        <w:rPr>
          <w:color w:val="000000"/>
          <w:sz w:val="32"/>
          <w:szCs w:val="32"/>
        </w:rPr>
      </w:pPr>
    </w:p>
    <w:p w:rsidR="002D2436" w:rsidRPr="00F621BC" w:rsidRDefault="002D2436" w:rsidP="00824A2F">
      <w:pPr>
        <w:tabs>
          <w:tab w:val="left" w:pos="851"/>
        </w:tabs>
        <w:spacing w:line="360" w:lineRule="auto"/>
        <w:ind w:left="1215"/>
        <w:contextualSpacing/>
        <w:jc w:val="both"/>
        <w:rPr>
          <w:color w:val="000000"/>
          <w:sz w:val="32"/>
          <w:szCs w:val="32"/>
        </w:rPr>
      </w:pPr>
    </w:p>
    <w:p w:rsidR="002D2436" w:rsidRPr="00F621BC" w:rsidRDefault="002D2436" w:rsidP="00824A2F">
      <w:pPr>
        <w:tabs>
          <w:tab w:val="left" w:pos="851"/>
        </w:tabs>
        <w:spacing w:line="360" w:lineRule="auto"/>
        <w:ind w:left="1215"/>
        <w:contextualSpacing/>
        <w:jc w:val="both"/>
        <w:rPr>
          <w:color w:val="000000"/>
          <w:sz w:val="32"/>
          <w:szCs w:val="32"/>
        </w:rPr>
      </w:pPr>
    </w:p>
    <w:p w:rsidR="002D2436" w:rsidRPr="00F621BC" w:rsidRDefault="002D2436" w:rsidP="00824A2F">
      <w:pPr>
        <w:tabs>
          <w:tab w:val="left" w:pos="851"/>
        </w:tabs>
        <w:spacing w:line="360" w:lineRule="auto"/>
        <w:ind w:left="1215"/>
        <w:contextualSpacing/>
        <w:jc w:val="both"/>
        <w:rPr>
          <w:color w:val="000000"/>
          <w:sz w:val="32"/>
          <w:szCs w:val="32"/>
        </w:rPr>
      </w:pPr>
    </w:p>
    <w:p w:rsidR="002D2436" w:rsidRPr="00F621BC" w:rsidRDefault="002D2436" w:rsidP="00824A2F">
      <w:pPr>
        <w:tabs>
          <w:tab w:val="left" w:pos="851"/>
        </w:tabs>
        <w:spacing w:line="360" w:lineRule="auto"/>
        <w:ind w:left="1215"/>
        <w:contextualSpacing/>
        <w:jc w:val="both"/>
        <w:rPr>
          <w:color w:val="000000"/>
          <w:sz w:val="32"/>
          <w:szCs w:val="32"/>
        </w:rPr>
      </w:pPr>
    </w:p>
    <w:p w:rsidR="002D2436" w:rsidRPr="00F621BC" w:rsidRDefault="002D2436" w:rsidP="00824A2F">
      <w:pPr>
        <w:tabs>
          <w:tab w:val="left" w:pos="851"/>
        </w:tabs>
        <w:spacing w:line="360" w:lineRule="auto"/>
        <w:ind w:left="1215"/>
        <w:contextualSpacing/>
        <w:jc w:val="both"/>
        <w:rPr>
          <w:color w:val="000000"/>
          <w:sz w:val="32"/>
          <w:szCs w:val="32"/>
        </w:rPr>
      </w:pPr>
    </w:p>
    <w:p w:rsidR="00824A2F" w:rsidRPr="00F621BC" w:rsidRDefault="00824A2F" w:rsidP="00824A2F">
      <w:pPr>
        <w:tabs>
          <w:tab w:val="left" w:pos="851"/>
        </w:tabs>
        <w:spacing w:line="360" w:lineRule="auto"/>
        <w:ind w:left="1215"/>
        <w:contextualSpacing/>
        <w:jc w:val="both"/>
        <w:rPr>
          <w:color w:val="000000"/>
          <w:sz w:val="32"/>
          <w:szCs w:val="32"/>
        </w:rPr>
      </w:pPr>
    </w:p>
    <w:p w:rsidR="00824A2F" w:rsidRPr="00F621BC" w:rsidRDefault="00824A2F" w:rsidP="00824A2F">
      <w:pPr>
        <w:tabs>
          <w:tab w:val="left" w:pos="851"/>
        </w:tabs>
        <w:spacing w:line="360" w:lineRule="auto"/>
        <w:contextualSpacing/>
        <w:jc w:val="center"/>
        <w:rPr>
          <w:color w:val="000000"/>
          <w:sz w:val="32"/>
          <w:szCs w:val="32"/>
        </w:rPr>
      </w:pPr>
      <w:r w:rsidRPr="00F621BC">
        <w:rPr>
          <w:color w:val="000000"/>
          <w:sz w:val="32"/>
          <w:szCs w:val="32"/>
        </w:rPr>
        <w:t xml:space="preserve">KUPIŠKIS </w:t>
      </w:r>
    </w:p>
    <w:p w:rsidR="00824A2F" w:rsidRPr="00F621BC" w:rsidRDefault="00824A2F" w:rsidP="00824A2F">
      <w:pPr>
        <w:tabs>
          <w:tab w:val="left" w:pos="851"/>
        </w:tabs>
        <w:spacing w:line="360" w:lineRule="auto"/>
        <w:contextualSpacing/>
        <w:jc w:val="center"/>
        <w:rPr>
          <w:color w:val="000000"/>
          <w:sz w:val="32"/>
          <w:szCs w:val="32"/>
        </w:rPr>
      </w:pPr>
      <w:r w:rsidRPr="00F621BC">
        <w:rPr>
          <w:color w:val="000000"/>
          <w:sz w:val="32"/>
          <w:szCs w:val="32"/>
        </w:rPr>
        <w:t>2018</w:t>
      </w:r>
    </w:p>
    <w:p w:rsidR="00824A2F" w:rsidRPr="00F621BC" w:rsidRDefault="00824A2F" w:rsidP="00824A2F">
      <w:pPr>
        <w:tabs>
          <w:tab w:val="left" w:pos="851"/>
        </w:tabs>
        <w:spacing w:line="360" w:lineRule="auto"/>
        <w:contextualSpacing/>
        <w:jc w:val="both"/>
        <w:rPr>
          <w:color w:val="000000"/>
          <w:sz w:val="32"/>
          <w:szCs w:val="32"/>
        </w:rPr>
      </w:pPr>
    </w:p>
    <w:p w:rsidR="00824A2F" w:rsidRPr="00F621BC" w:rsidRDefault="00824A2F" w:rsidP="00824A2F">
      <w:pPr>
        <w:tabs>
          <w:tab w:val="left" w:pos="851"/>
        </w:tabs>
        <w:spacing w:line="360" w:lineRule="auto"/>
        <w:contextualSpacing/>
        <w:jc w:val="both"/>
        <w:rPr>
          <w:color w:val="000000"/>
          <w:sz w:val="32"/>
          <w:szCs w:val="32"/>
        </w:rPr>
      </w:pPr>
    </w:p>
    <w:p w:rsidR="00824A2F" w:rsidRPr="00F621BC" w:rsidRDefault="00824A2F" w:rsidP="00824A2F">
      <w:pPr>
        <w:tabs>
          <w:tab w:val="left" w:pos="851"/>
        </w:tabs>
        <w:spacing w:line="360" w:lineRule="auto"/>
        <w:contextualSpacing/>
        <w:jc w:val="both"/>
        <w:rPr>
          <w:color w:val="000000"/>
          <w:sz w:val="32"/>
          <w:szCs w:val="32"/>
        </w:rPr>
      </w:pPr>
    </w:p>
    <w:p w:rsidR="00824A2F" w:rsidRPr="00F621BC" w:rsidRDefault="00824A2F" w:rsidP="00824A2F">
      <w:pPr>
        <w:tabs>
          <w:tab w:val="left" w:pos="851"/>
        </w:tabs>
        <w:spacing w:line="360" w:lineRule="auto"/>
        <w:contextualSpacing/>
        <w:jc w:val="both"/>
        <w:rPr>
          <w:color w:val="000000"/>
          <w:sz w:val="32"/>
          <w:szCs w:val="32"/>
        </w:rPr>
      </w:pPr>
    </w:p>
    <w:p w:rsidR="00824A2F" w:rsidRPr="00F621BC" w:rsidRDefault="00824A2F" w:rsidP="00824A2F">
      <w:pPr>
        <w:tabs>
          <w:tab w:val="left" w:pos="851"/>
        </w:tabs>
        <w:spacing w:line="360" w:lineRule="auto"/>
        <w:contextualSpacing/>
        <w:jc w:val="both"/>
        <w:rPr>
          <w:color w:val="000000"/>
          <w:sz w:val="32"/>
          <w:szCs w:val="32"/>
        </w:rPr>
      </w:pPr>
    </w:p>
    <w:p w:rsidR="00824A2F" w:rsidRPr="00F621BC" w:rsidRDefault="00824A2F" w:rsidP="00824A2F">
      <w:pPr>
        <w:tabs>
          <w:tab w:val="left" w:pos="851"/>
        </w:tabs>
        <w:spacing w:line="360" w:lineRule="auto"/>
        <w:contextualSpacing/>
        <w:jc w:val="both"/>
        <w:rPr>
          <w:color w:val="000000"/>
          <w:sz w:val="32"/>
          <w:szCs w:val="32"/>
        </w:rPr>
      </w:pPr>
    </w:p>
    <w:p w:rsidR="00824A2F" w:rsidRPr="00F621BC" w:rsidRDefault="00824A2F" w:rsidP="00824A2F">
      <w:pPr>
        <w:tabs>
          <w:tab w:val="left" w:pos="851"/>
        </w:tabs>
        <w:spacing w:line="360" w:lineRule="auto"/>
        <w:contextualSpacing/>
        <w:jc w:val="both"/>
        <w:rPr>
          <w:color w:val="000000"/>
          <w:sz w:val="32"/>
          <w:szCs w:val="32"/>
        </w:rPr>
      </w:pPr>
    </w:p>
    <w:p w:rsidR="00824A2F" w:rsidRPr="00F621BC" w:rsidRDefault="00824A2F" w:rsidP="00824A2F">
      <w:pPr>
        <w:tabs>
          <w:tab w:val="left" w:pos="851"/>
        </w:tabs>
        <w:spacing w:line="360" w:lineRule="auto"/>
        <w:contextualSpacing/>
        <w:jc w:val="both"/>
        <w:rPr>
          <w:color w:val="000000"/>
          <w:sz w:val="32"/>
          <w:szCs w:val="32"/>
        </w:rPr>
      </w:pPr>
    </w:p>
    <w:p w:rsidR="00824A2F" w:rsidRPr="00F621BC" w:rsidRDefault="00824A2F" w:rsidP="00824A2F">
      <w:pPr>
        <w:tabs>
          <w:tab w:val="left" w:pos="851"/>
        </w:tabs>
        <w:spacing w:line="360" w:lineRule="auto"/>
        <w:contextualSpacing/>
        <w:jc w:val="both"/>
        <w:rPr>
          <w:color w:val="000000"/>
          <w:sz w:val="32"/>
          <w:szCs w:val="32"/>
        </w:rPr>
      </w:pPr>
    </w:p>
    <w:p w:rsidR="00824A2F" w:rsidRPr="00F621BC" w:rsidRDefault="00824A2F" w:rsidP="00824A2F">
      <w:pPr>
        <w:tabs>
          <w:tab w:val="left" w:pos="851"/>
        </w:tabs>
        <w:spacing w:line="360" w:lineRule="auto"/>
        <w:contextualSpacing/>
        <w:jc w:val="both"/>
        <w:rPr>
          <w:color w:val="000000"/>
          <w:sz w:val="32"/>
          <w:szCs w:val="32"/>
        </w:rPr>
      </w:pPr>
    </w:p>
    <w:p w:rsidR="00824A2F" w:rsidRPr="00F621BC" w:rsidRDefault="00824A2F" w:rsidP="00824A2F">
      <w:pPr>
        <w:tabs>
          <w:tab w:val="left" w:pos="851"/>
        </w:tabs>
        <w:spacing w:line="360" w:lineRule="auto"/>
        <w:contextualSpacing/>
        <w:jc w:val="both"/>
        <w:rPr>
          <w:color w:val="000000"/>
          <w:sz w:val="32"/>
          <w:szCs w:val="32"/>
        </w:rPr>
      </w:pPr>
    </w:p>
    <w:p w:rsidR="00824A2F" w:rsidRPr="00F621BC" w:rsidRDefault="00824A2F" w:rsidP="00824A2F">
      <w:pPr>
        <w:tabs>
          <w:tab w:val="left" w:pos="851"/>
        </w:tabs>
        <w:spacing w:line="360" w:lineRule="auto"/>
        <w:contextualSpacing/>
        <w:jc w:val="both"/>
        <w:rPr>
          <w:color w:val="000000"/>
          <w:sz w:val="32"/>
          <w:szCs w:val="32"/>
        </w:rPr>
      </w:pPr>
    </w:p>
    <w:p w:rsidR="00824A2F" w:rsidRPr="00F621BC" w:rsidRDefault="00824A2F" w:rsidP="005028EA">
      <w:pPr>
        <w:pStyle w:val="Pavadinimas"/>
        <w:ind w:left="720"/>
        <w:rPr>
          <w:rFonts w:ascii="Times New Roman" w:hAnsi="Times New Roman"/>
        </w:rPr>
      </w:pPr>
      <w:bookmarkStart w:id="0" w:name="_Toc475369611"/>
      <w:bookmarkStart w:id="1" w:name="_Toc475608980"/>
      <w:r w:rsidRPr="00F621BC">
        <w:rPr>
          <w:rFonts w:ascii="Times New Roman" w:hAnsi="Times New Roman"/>
        </w:rPr>
        <w:lastRenderedPageBreak/>
        <w:t>Įvadas</w:t>
      </w:r>
      <w:bookmarkEnd w:id="0"/>
      <w:bookmarkEnd w:id="1"/>
    </w:p>
    <w:p w:rsidR="00824A2F" w:rsidRPr="00F621BC" w:rsidRDefault="00824A2F" w:rsidP="00824A2F"/>
    <w:p w:rsidR="00824A2F" w:rsidRPr="00F621BC" w:rsidRDefault="00824A2F" w:rsidP="00824A2F">
      <w:pPr>
        <w:tabs>
          <w:tab w:val="left" w:pos="851"/>
        </w:tabs>
        <w:spacing w:line="360" w:lineRule="auto"/>
        <w:ind w:firstLine="1134"/>
        <w:jc w:val="both"/>
        <w:rPr>
          <w:color w:val="000000"/>
          <w:szCs w:val="24"/>
        </w:rPr>
      </w:pPr>
      <w:r w:rsidRPr="00F621BC">
        <w:rPr>
          <w:color w:val="000000"/>
          <w:szCs w:val="24"/>
        </w:rPr>
        <w:t>Kupiškio rajono apylinkės teismas – vienas iš keturiasdešimt devynių Lietuvos Respublikoje 1992-2017 m. veikusių bendrosios kompetencijos teismų, vykdžiusių Lietuvos Respublikos Konstitucijoje ir Lietuvos Respublikos teismų įstatyme nustatytas funkcijas, kurių pagrindinė – teisingumo vykdymas. Kupiškio rajono apylinkės teismo veiklos teritorija apėmė visą Kupiškio rajono savivaldybės teritoriją. Apeliacinės instancijos teismas Kupiškio rajono apylinkės teismo nagrinėjamoms byloms buvo Panevėžio apygardos teismas.</w:t>
      </w:r>
    </w:p>
    <w:p w:rsidR="00824A2F" w:rsidRPr="00F621BC" w:rsidRDefault="00824A2F" w:rsidP="00824A2F">
      <w:pPr>
        <w:tabs>
          <w:tab w:val="left" w:pos="851"/>
        </w:tabs>
        <w:spacing w:line="360" w:lineRule="auto"/>
        <w:ind w:firstLine="1134"/>
        <w:jc w:val="both"/>
        <w:rPr>
          <w:color w:val="000000"/>
          <w:szCs w:val="24"/>
        </w:rPr>
      </w:pPr>
      <w:r w:rsidRPr="00F621BC">
        <w:rPr>
          <w:color w:val="000000"/>
          <w:szCs w:val="24"/>
        </w:rPr>
        <w:t xml:space="preserve">Savo veiklos laikotarpiu Kupiškio rajono apylinkės teismas pirmąja instancija nagrinėjo: </w:t>
      </w:r>
    </w:p>
    <w:p w:rsidR="00824A2F" w:rsidRPr="00F621BC" w:rsidRDefault="00824A2F" w:rsidP="00D5223A">
      <w:pPr>
        <w:tabs>
          <w:tab w:val="left" w:pos="851"/>
        </w:tabs>
        <w:spacing w:line="360" w:lineRule="auto"/>
        <w:jc w:val="both"/>
        <w:rPr>
          <w:color w:val="000000"/>
          <w:szCs w:val="24"/>
        </w:rPr>
      </w:pPr>
      <w:r w:rsidRPr="00F621BC">
        <w:rPr>
          <w:color w:val="000000"/>
          <w:szCs w:val="24"/>
        </w:rPr>
        <w:t xml:space="preserve">1) civilines bylas, įstatymų priskirtas jo kompetencijai; </w:t>
      </w:r>
    </w:p>
    <w:p w:rsidR="00824A2F" w:rsidRPr="00F621BC" w:rsidRDefault="00824A2F" w:rsidP="00D5223A">
      <w:pPr>
        <w:tabs>
          <w:tab w:val="left" w:pos="851"/>
        </w:tabs>
        <w:spacing w:line="360" w:lineRule="auto"/>
        <w:jc w:val="both"/>
        <w:rPr>
          <w:color w:val="000000"/>
          <w:szCs w:val="24"/>
        </w:rPr>
      </w:pPr>
      <w:r w:rsidRPr="00F621BC">
        <w:rPr>
          <w:color w:val="000000"/>
          <w:szCs w:val="24"/>
        </w:rPr>
        <w:t xml:space="preserve">2) baudžiamąsias bylas, įstatymų priskirtas jo kompetencijai; </w:t>
      </w:r>
    </w:p>
    <w:p w:rsidR="00824A2F" w:rsidRPr="00F621BC" w:rsidRDefault="00824A2F" w:rsidP="00D5223A">
      <w:pPr>
        <w:tabs>
          <w:tab w:val="left" w:pos="851"/>
        </w:tabs>
        <w:spacing w:line="360" w:lineRule="auto"/>
        <w:jc w:val="both"/>
        <w:rPr>
          <w:color w:val="000000"/>
          <w:szCs w:val="24"/>
        </w:rPr>
      </w:pPr>
      <w:r w:rsidRPr="00F621BC">
        <w:rPr>
          <w:color w:val="000000"/>
          <w:szCs w:val="24"/>
        </w:rPr>
        <w:t xml:space="preserve">3) administracinių nusižengimų (iki 2017 m. – administracinių teisės pažeidimų) bylas; </w:t>
      </w:r>
    </w:p>
    <w:p w:rsidR="00824A2F" w:rsidRPr="00F621BC" w:rsidRDefault="00824A2F" w:rsidP="00D5223A">
      <w:pPr>
        <w:tabs>
          <w:tab w:val="left" w:pos="851"/>
        </w:tabs>
        <w:spacing w:line="360" w:lineRule="auto"/>
        <w:jc w:val="both"/>
        <w:rPr>
          <w:color w:val="000000"/>
          <w:szCs w:val="24"/>
        </w:rPr>
      </w:pPr>
      <w:r w:rsidRPr="00F621BC">
        <w:rPr>
          <w:color w:val="000000"/>
          <w:szCs w:val="24"/>
        </w:rPr>
        <w:t xml:space="preserve">4) bylas, susijusias su teismo sprendimų ir nuosprendžių vykdymu. </w:t>
      </w:r>
    </w:p>
    <w:p w:rsidR="00824A2F" w:rsidRPr="00F621BC" w:rsidRDefault="00824A2F" w:rsidP="00824A2F">
      <w:pPr>
        <w:tabs>
          <w:tab w:val="left" w:pos="851"/>
        </w:tabs>
        <w:spacing w:line="360" w:lineRule="auto"/>
        <w:ind w:firstLine="1134"/>
        <w:jc w:val="both"/>
        <w:rPr>
          <w:color w:val="000000"/>
          <w:szCs w:val="24"/>
        </w:rPr>
      </w:pPr>
      <w:r w:rsidRPr="00F621BC">
        <w:rPr>
          <w:color w:val="000000"/>
          <w:szCs w:val="24"/>
        </w:rPr>
        <w:t xml:space="preserve">Kupiškio rajono apylinkės teisme dirbantys teisėjai atlikdavo Lietuvos Respublikos baudžiamojo proceso kodekse numatytas ikiteisminio tyrimo teisėjų funkcijas bei kitas apylinkės teismo teisėjų kompetencijai įstatymų ar kitų teisės aktų priskirtas funkcijas. </w:t>
      </w:r>
    </w:p>
    <w:p w:rsidR="00824A2F" w:rsidRPr="00F621BC" w:rsidRDefault="00824A2F" w:rsidP="00824A2F">
      <w:pPr>
        <w:tabs>
          <w:tab w:val="left" w:pos="851"/>
        </w:tabs>
        <w:spacing w:line="360" w:lineRule="auto"/>
        <w:ind w:firstLine="1134"/>
        <w:jc w:val="both"/>
        <w:rPr>
          <w:color w:val="000000"/>
          <w:szCs w:val="24"/>
        </w:rPr>
      </w:pPr>
      <w:r w:rsidRPr="00F621BC">
        <w:rPr>
          <w:color w:val="000000"/>
          <w:szCs w:val="24"/>
        </w:rPr>
        <w:t>Teismas įsikūręs Kupiškio miesto centre – L. Stuokos-Gucevičiaus a. 10. Teismo rūmuose įrengtos dvi posėdžių salės, raštinės patalpa, teisėjų, teisėjų padėjėjų, teismo posėdžių sekretorių ir kitų darbuotojų darbo kabinetai,</w:t>
      </w:r>
      <w:r w:rsidR="00D5223A" w:rsidRPr="00F621BC">
        <w:rPr>
          <w:color w:val="000000"/>
          <w:szCs w:val="24"/>
        </w:rPr>
        <w:t xml:space="preserve"> iki 2017 m. pabaigos veikė</w:t>
      </w:r>
      <w:r w:rsidRPr="00F621BC">
        <w:rPr>
          <w:color w:val="000000"/>
          <w:szCs w:val="24"/>
        </w:rPr>
        <w:t xml:space="preserve"> teismo archyvas. Savo archyvo veiklai užtikrinti teismas iki 2017 m. pabaigos </w:t>
      </w:r>
      <w:r w:rsidR="00D5223A" w:rsidRPr="00F621BC">
        <w:rPr>
          <w:color w:val="000000"/>
          <w:szCs w:val="24"/>
        </w:rPr>
        <w:t xml:space="preserve">papildomai </w:t>
      </w:r>
      <w:r w:rsidRPr="00F621BC">
        <w:rPr>
          <w:color w:val="000000"/>
          <w:szCs w:val="24"/>
        </w:rPr>
        <w:t>nuomojosi keletą negyvenamųjų patalpų</w:t>
      </w:r>
      <w:r w:rsidR="00D5223A" w:rsidRPr="00F621BC">
        <w:rPr>
          <w:color w:val="000000"/>
          <w:szCs w:val="24"/>
        </w:rPr>
        <w:t xml:space="preserve">. </w:t>
      </w:r>
      <w:r w:rsidRPr="00F621BC">
        <w:rPr>
          <w:color w:val="000000"/>
          <w:szCs w:val="24"/>
        </w:rPr>
        <w:t xml:space="preserve">2017 m. pabaigoje </w:t>
      </w:r>
      <w:r w:rsidR="00D5223A" w:rsidRPr="00F621BC">
        <w:rPr>
          <w:color w:val="000000"/>
          <w:szCs w:val="24"/>
        </w:rPr>
        <w:t xml:space="preserve">galutinai </w:t>
      </w:r>
      <w:r w:rsidRPr="00F621BC">
        <w:rPr>
          <w:color w:val="000000"/>
          <w:szCs w:val="24"/>
        </w:rPr>
        <w:t xml:space="preserve">sutvarkius archyvą, nuomojamų patalpų atsisakyta.  </w:t>
      </w:r>
    </w:p>
    <w:p w:rsidR="00824A2F" w:rsidRPr="00F621BC" w:rsidRDefault="00824A2F" w:rsidP="00824A2F">
      <w:pPr>
        <w:tabs>
          <w:tab w:val="left" w:pos="851"/>
        </w:tabs>
        <w:spacing w:line="360" w:lineRule="auto"/>
        <w:ind w:firstLine="1134"/>
        <w:jc w:val="both"/>
        <w:rPr>
          <w:color w:val="000000"/>
          <w:szCs w:val="24"/>
        </w:rPr>
      </w:pPr>
      <w:r w:rsidRPr="00F621BC">
        <w:rPr>
          <w:color w:val="000000"/>
          <w:szCs w:val="24"/>
        </w:rPr>
        <w:t xml:space="preserve">Kupiškio rajono apylinkės teisme jo veiklos laikotarpiu dirbo trys teisėjai. </w:t>
      </w:r>
    </w:p>
    <w:p w:rsidR="0077631B" w:rsidRPr="00F621BC" w:rsidRDefault="00885993" w:rsidP="001E5145">
      <w:pPr>
        <w:tabs>
          <w:tab w:val="left" w:pos="851"/>
        </w:tabs>
        <w:spacing w:line="360" w:lineRule="auto"/>
        <w:ind w:firstLine="1134"/>
        <w:jc w:val="both"/>
        <w:rPr>
          <w:color w:val="000000"/>
          <w:szCs w:val="24"/>
        </w:rPr>
      </w:pPr>
      <w:r w:rsidRPr="00F621BC">
        <w:rPr>
          <w:color w:val="000000"/>
          <w:szCs w:val="24"/>
        </w:rPr>
        <w:t>2017 metais teisme gautos</w:t>
      </w:r>
      <w:r w:rsidR="006A1D61" w:rsidRPr="00F621BC">
        <w:rPr>
          <w:color w:val="000000"/>
          <w:szCs w:val="24"/>
        </w:rPr>
        <w:t xml:space="preserve"> 1529 </w:t>
      </w:r>
      <w:r w:rsidRPr="00F621BC">
        <w:rPr>
          <w:color w:val="000000"/>
          <w:szCs w:val="24"/>
        </w:rPr>
        <w:t>bylos, iš jų 153 baudžiamosios</w:t>
      </w:r>
      <w:r w:rsidR="006A1D61" w:rsidRPr="00F621BC">
        <w:rPr>
          <w:color w:val="000000"/>
          <w:szCs w:val="24"/>
        </w:rPr>
        <w:t>, 1155 civilinės bei 221 administracinių nusižengimų byla. Baigtos nagrinėti 1525 bylos, iš jų 141 baudžiamoji, 1150 civilinių bei 234 administracinių nusižengimų bylos.</w:t>
      </w:r>
    </w:p>
    <w:p w:rsidR="00AF4C81" w:rsidRPr="00F621BC" w:rsidRDefault="00824A2F" w:rsidP="00824A2F">
      <w:pPr>
        <w:tabs>
          <w:tab w:val="left" w:pos="851"/>
        </w:tabs>
        <w:spacing w:line="360" w:lineRule="auto"/>
        <w:ind w:firstLine="1134"/>
        <w:jc w:val="both"/>
        <w:rPr>
          <w:color w:val="000000"/>
          <w:szCs w:val="24"/>
        </w:rPr>
      </w:pPr>
      <w:r w:rsidRPr="00F621BC">
        <w:rPr>
          <w:color w:val="000000"/>
          <w:szCs w:val="24"/>
        </w:rPr>
        <w:t>Vadovaujantis Lietuvos Respublikos teismų reorganizavimo įstatymu, nuo 2016 m. balandžio mėnesio Kupiškio rajono apylinkės teismas buvo</w:t>
      </w:r>
      <w:r w:rsidR="00D5223A" w:rsidRPr="00F621BC">
        <w:rPr>
          <w:color w:val="000000"/>
          <w:szCs w:val="24"/>
        </w:rPr>
        <w:t xml:space="preserve"> reorganizuojamas.</w:t>
      </w:r>
      <w:r w:rsidRPr="00F621BC">
        <w:rPr>
          <w:color w:val="000000"/>
          <w:szCs w:val="24"/>
        </w:rPr>
        <w:t xml:space="preserve"> 2018 m. sausio 1 d. jis prijungtas prie dalyvaujančio reorganizavime Panevėžio miesto apylinkės teismo ir tapo šio teismo teritoriniu padaliniu (teismo rūmais). </w:t>
      </w:r>
      <w:r w:rsidR="00AF4C81" w:rsidRPr="00F621BC">
        <w:rPr>
          <w:color w:val="000000"/>
          <w:szCs w:val="24"/>
        </w:rPr>
        <w:t>Įgyvendinus teismų reformą</w:t>
      </w:r>
      <w:r w:rsidR="00AD1DA4" w:rsidRPr="00F621BC">
        <w:rPr>
          <w:color w:val="000000"/>
          <w:szCs w:val="24"/>
        </w:rPr>
        <w:t>, vietoje</w:t>
      </w:r>
      <w:r w:rsidRPr="00F621BC">
        <w:rPr>
          <w:color w:val="000000"/>
          <w:szCs w:val="24"/>
        </w:rPr>
        <w:t xml:space="preserve"> Kupiškio rajono apylinkės </w:t>
      </w:r>
      <w:r w:rsidR="00AD1DA4" w:rsidRPr="00F621BC">
        <w:rPr>
          <w:color w:val="000000"/>
          <w:szCs w:val="24"/>
        </w:rPr>
        <w:t>teismo</w:t>
      </w:r>
      <w:r w:rsidRPr="00F621BC">
        <w:rPr>
          <w:color w:val="000000"/>
          <w:szCs w:val="24"/>
        </w:rPr>
        <w:t xml:space="preserve"> </w:t>
      </w:r>
      <w:r w:rsidR="00AD1DA4" w:rsidRPr="00F621BC">
        <w:rPr>
          <w:color w:val="000000"/>
          <w:szCs w:val="24"/>
        </w:rPr>
        <w:t>veikti pradėję</w:t>
      </w:r>
      <w:r w:rsidRPr="00F621BC">
        <w:rPr>
          <w:color w:val="000000"/>
          <w:szCs w:val="24"/>
        </w:rPr>
        <w:t xml:space="preserve"> Panevėžio apylinkės teismo Kupiškio rūmai </w:t>
      </w:r>
      <w:r w:rsidR="00AD1DA4" w:rsidRPr="00F621BC">
        <w:rPr>
          <w:color w:val="000000"/>
          <w:szCs w:val="24"/>
        </w:rPr>
        <w:t xml:space="preserve">ir toliau atlieka teisingumo vykdymą toje pačioje veiklos teritorijoje, veikia tose pačiose patalpose, tačiau yra administruojami iš pagrindinio centro, esančio </w:t>
      </w:r>
      <w:r w:rsidR="001E5145" w:rsidRPr="00F621BC">
        <w:rPr>
          <w:color w:val="000000"/>
          <w:szCs w:val="24"/>
        </w:rPr>
        <w:t xml:space="preserve">Panevėžio mieste, </w:t>
      </w:r>
      <w:r w:rsidR="00AD1DA4" w:rsidRPr="00F621BC">
        <w:rPr>
          <w:color w:val="000000"/>
          <w:szCs w:val="24"/>
        </w:rPr>
        <w:t>Laisvės a. 17</w:t>
      </w:r>
      <w:r w:rsidR="001E5145" w:rsidRPr="00F621BC">
        <w:rPr>
          <w:color w:val="000000"/>
          <w:szCs w:val="24"/>
        </w:rPr>
        <w:t>.</w:t>
      </w:r>
    </w:p>
    <w:p w:rsidR="00824A2F" w:rsidRPr="00F621BC" w:rsidRDefault="00824A2F" w:rsidP="001E5145">
      <w:pPr>
        <w:tabs>
          <w:tab w:val="left" w:pos="851"/>
        </w:tabs>
        <w:spacing w:line="360" w:lineRule="auto"/>
        <w:jc w:val="both"/>
        <w:rPr>
          <w:color w:val="000000"/>
          <w:szCs w:val="24"/>
        </w:rPr>
      </w:pPr>
    </w:p>
    <w:p w:rsidR="00AF4C81" w:rsidRPr="00F621BC" w:rsidRDefault="00AF4C81" w:rsidP="00F0264F">
      <w:pPr>
        <w:tabs>
          <w:tab w:val="left" w:pos="851"/>
        </w:tabs>
        <w:spacing w:line="360" w:lineRule="auto"/>
        <w:jc w:val="both"/>
        <w:rPr>
          <w:color w:val="000000"/>
          <w:szCs w:val="24"/>
        </w:rPr>
      </w:pPr>
    </w:p>
    <w:p w:rsidR="005028EA" w:rsidRPr="00F621BC" w:rsidRDefault="005028EA" w:rsidP="00F0264F">
      <w:pPr>
        <w:tabs>
          <w:tab w:val="left" w:pos="851"/>
        </w:tabs>
        <w:spacing w:line="360" w:lineRule="auto"/>
        <w:jc w:val="both"/>
        <w:rPr>
          <w:color w:val="000000"/>
          <w:szCs w:val="24"/>
        </w:rPr>
      </w:pPr>
    </w:p>
    <w:p w:rsidR="00C620B1" w:rsidRPr="00F621BC" w:rsidRDefault="00D5223A" w:rsidP="00D5223A">
      <w:pPr>
        <w:spacing w:before="240" w:after="60"/>
        <w:jc w:val="center"/>
        <w:outlineLvl w:val="0"/>
        <w:rPr>
          <w:b/>
          <w:bCs/>
          <w:kern w:val="28"/>
          <w:sz w:val="32"/>
          <w:szCs w:val="32"/>
        </w:rPr>
      </w:pPr>
      <w:bookmarkStart w:id="2" w:name="_Toc475369612"/>
      <w:bookmarkStart w:id="3" w:name="_Toc475608981"/>
      <w:r w:rsidRPr="00F621BC">
        <w:rPr>
          <w:b/>
          <w:bCs/>
          <w:kern w:val="28"/>
          <w:sz w:val="32"/>
          <w:szCs w:val="32"/>
        </w:rPr>
        <w:lastRenderedPageBreak/>
        <w:t xml:space="preserve">I. </w:t>
      </w:r>
      <w:r w:rsidR="001C06AD" w:rsidRPr="00F621BC">
        <w:rPr>
          <w:b/>
          <w:bCs/>
          <w:kern w:val="28"/>
          <w:sz w:val="32"/>
          <w:szCs w:val="32"/>
        </w:rPr>
        <w:t>Bylų nagrinėjimo statistika</w:t>
      </w:r>
      <w:bookmarkEnd w:id="2"/>
      <w:bookmarkEnd w:id="3"/>
    </w:p>
    <w:p w:rsidR="007843A6" w:rsidRPr="00F621BC" w:rsidRDefault="007843A6" w:rsidP="007843A6">
      <w:pPr>
        <w:pStyle w:val="Sraopastraipa"/>
        <w:tabs>
          <w:tab w:val="left" w:pos="851"/>
        </w:tabs>
        <w:spacing w:line="360" w:lineRule="auto"/>
        <w:ind w:left="1215"/>
        <w:jc w:val="both"/>
        <w:rPr>
          <w:color w:val="000000"/>
          <w:szCs w:val="24"/>
        </w:rPr>
      </w:pPr>
    </w:p>
    <w:p w:rsidR="00892BCE" w:rsidRPr="00F621BC" w:rsidRDefault="00892BCE" w:rsidP="001E5145">
      <w:pPr>
        <w:tabs>
          <w:tab w:val="left" w:pos="851"/>
        </w:tabs>
        <w:spacing w:line="360" w:lineRule="auto"/>
        <w:ind w:firstLine="1134"/>
        <w:jc w:val="both"/>
        <w:rPr>
          <w:color w:val="000000"/>
          <w:szCs w:val="24"/>
        </w:rPr>
      </w:pPr>
      <w:r w:rsidRPr="00F621BC">
        <w:rPr>
          <w:color w:val="000000"/>
          <w:szCs w:val="24"/>
        </w:rPr>
        <w:t>2017 metais teisme gautos 1529 bylos, iš jų 153 baudžiamosios, 1155 civilinės bei 221 administracinių nusižengimų byla.</w:t>
      </w:r>
    </w:p>
    <w:p w:rsidR="001E5145" w:rsidRPr="00F621BC" w:rsidRDefault="002F2118" w:rsidP="001E5145">
      <w:pPr>
        <w:tabs>
          <w:tab w:val="left" w:pos="851"/>
        </w:tabs>
        <w:spacing w:line="360" w:lineRule="auto"/>
        <w:ind w:firstLine="1134"/>
        <w:jc w:val="both"/>
        <w:rPr>
          <w:color w:val="000000"/>
          <w:szCs w:val="24"/>
        </w:rPr>
      </w:pPr>
      <w:r w:rsidRPr="00F621BC">
        <w:rPr>
          <w:color w:val="000000"/>
          <w:szCs w:val="24"/>
        </w:rPr>
        <w:t>Pal</w:t>
      </w:r>
      <w:r w:rsidR="00892875" w:rsidRPr="00F621BC">
        <w:rPr>
          <w:color w:val="000000"/>
          <w:szCs w:val="24"/>
        </w:rPr>
        <w:t>ygin</w:t>
      </w:r>
      <w:r w:rsidRPr="00F621BC">
        <w:rPr>
          <w:color w:val="000000"/>
          <w:szCs w:val="24"/>
        </w:rPr>
        <w:t>us</w:t>
      </w:r>
      <w:r w:rsidR="00892875" w:rsidRPr="00F621BC">
        <w:rPr>
          <w:color w:val="000000"/>
          <w:szCs w:val="24"/>
        </w:rPr>
        <w:t xml:space="preserve"> su 201</w:t>
      </w:r>
      <w:r w:rsidR="00892BCE" w:rsidRPr="00F621BC">
        <w:rPr>
          <w:color w:val="000000"/>
          <w:szCs w:val="24"/>
        </w:rPr>
        <w:t>6</w:t>
      </w:r>
      <w:r w:rsidR="00892875" w:rsidRPr="00F621BC">
        <w:rPr>
          <w:color w:val="000000"/>
          <w:szCs w:val="24"/>
        </w:rPr>
        <w:t xml:space="preserve"> metais, 201</w:t>
      </w:r>
      <w:r w:rsidR="00892BCE" w:rsidRPr="00F621BC">
        <w:rPr>
          <w:color w:val="000000"/>
          <w:szCs w:val="24"/>
        </w:rPr>
        <w:t>7</w:t>
      </w:r>
      <w:r w:rsidR="00892875" w:rsidRPr="00F621BC">
        <w:rPr>
          <w:color w:val="000000"/>
          <w:szCs w:val="24"/>
        </w:rPr>
        <w:t xml:space="preserve"> metais gauta </w:t>
      </w:r>
      <w:r w:rsidR="00363FEC" w:rsidRPr="00F621BC">
        <w:rPr>
          <w:color w:val="000000"/>
          <w:szCs w:val="24"/>
        </w:rPr>
        <w:t xml:space="preserve">vidutiniškai apie 20 % mažiau bylų. Gauta </w:t>
      </w:r>
      <w:r w:rsidRPr="00F621BC">
        <w:rPr>
          <w:color w:val="000000"/>
          <w:szCs w:val="24"/>
        </w:rPr>
        <w:t xml:space="preserve">trečdaliu daugiau baudžiamųjų bylų, </w:t>
      </w:r>
      <w:r w:rsidR="00363FEC" w:rsidRPr="00F621BC">
        <w:rPr>
          <w:color w:val="000000"/>
          <w:szCs w:val="24"/>
        </w:rPr>
        <w:t xml:space="preserve">tačiau </w:t>
      </w:r>
      <w:r w:rsidRPr="00F621BC">
        <w:rPr>
          <w:color w:val="000000"/>
          <w:szCs w:val="24"/>
        </w:rPr>
        <w:t xml:space="preserve">apie 10 % mažiau civilinių bylų. </w:t>
      </w:r>
      <w:r w:rsidR="00363FEC" w:rsidRPr="00F621BC">
        <w:rPr>
          <w:color w:val="000000"/>
          <w:szCs w:val="24"/>
        </w:rPr>
        <w:t xml:space="preserve">2017 m. sausio 1 d. įsigaliojusiame Administracinių nusižengimų kodekse įteisinta, kad daugiau administracinių nusižengimų bylų būtų nagrinėjama ne teisme. Todėl </w:t>
      </w:r>
      <w:r w:rsidRPr="00F621BC">
        <w:rPr>
          <w:color w:val="000000"/>
          <w:szCs w:val="24"/>
        </w:rPr>
        <w:t xml:space="preserve">2017 metais </w:t>
      </w:r>
      <w:r w:rsidR="0027737E" w:rsidRPr="00F621BC">
        <w:rPr>
          <w:color w:val="000000"/>
          <w:szCs w:val="24"/>
        </w:rPr>
        <w:t xml:space="preserve">gautų </w:t>
      </w:r>
      <w:r w:rsidRPr="00F621BC">
        <w:rPr>
          <w:color w:val="000000"/>
          <w:szCs w:val="24"/>
        </w:rPr>
        <w:t>administracinių nusižengimų bylų, palyginus su 2016 metais gautomis administracinių teisės pažeidimų bylomis</w:t>
      </w:r>
      <w:r w:rsidR="0027737E" w:rsidRPr="00F621BC">
        <w:rPr>
          <w:color w:val="000000"/>
          <w:szCs w:val="24"/>
        </w:rPr>
        <w:t>, sumažėjo daugiau nei 58 %</w:t>
      </w:r>
      <w:r w:rsidR="00363FEC" w:rsidRPr="00F621BC">
        <w:rPr>
          <w:color w:val="000000"/>
          <w:szCs w:val="24"/>
        </w:rPr>
        <w:t>.</w:t>
      </w:r>
    </w:p>
    <w:p w:rsidR="00AA4037" w:rsidRPr="00F621BC" w:rsidRDefault="006746EC" w:rsidP="001E5145">
      <w:pPr>
        <w:tabs>
          <w:tab w:val="left" w:pos="851"/>
        </w:tabs>
        <w:spacing w:line="360" w:lineRule="auto"/>
        <w:ind w:firstLine="1134"/>
        <w:jc w:val="both"/>
        <w:rPr>
          <w:color w:val="000000"/>
          <w:szCs w:val="24"/>
        </w:rPr>
      </w:pPr>
      <w:r w:rsidRPr="00F621BC">
        <w:rPr>
          <w:color w:val="000000"/>
          <w:szCs w:val="24"/>
        </w:rPr>
        <w:t>201</w:t>
      </w:r>
      <w:r w:rsidR="001E5145" w:rsidRPr="00F621BC">
        <w:rPr>
          <w:color w:val="000000"/>
          <w:szCs w:val="24"/>
        </w:rPr>
        <w:t>7</w:t>
      </w:r>
      <w:r w:rsidRPr="00F621BC">
        <w:rPr>
          <w:color w:val="000000"/>
          <w:szCs w:val="24"/>
        </w:rPr>
        <w:t xml:space="preserve"> metais teisme </w:t>
      </w:r>
      <w:r w:rsidR="001C06AD" w:rsidRPr="00F621BC">
        <w:rPr>
          <w:color w:val="000000"/>
          <w:szCs w:val="24"/>
        </w:rPr>
        <w:t>išnagrinėt</w:t>
      </w:r>
      <w:r w:rsidR="00095E4D" w:rsidRPr="00F621BC">
        <w:rPr>
          <w:color w:val="000000"/>
          <w:szCs w:val="24"/>
        </w:rPr>
        <w:t xml:space="preserve">a </w:t>
      </w:r>
      <w:r w:rsidR="001E5145" w:rsidRPr="00F621BC">
        <w:t>141</w:t>
      </w:r>
      <w:r w:rsidR="001E5145" w:rsidRPr="00F621BC">
        <w:rPr>
          <w:color w:val="000000"/>
          <w:szCs w:val="24"/>
        </w:rPr>
        <w:t xml:space="preserve"> baudžiamoji, </w:t>
      </w:r>
      <w:r w:rsidR="001E5145" w:rsidRPr="00F621BC">
        <w:t>1150</w:t>
      </w:r>
      <w:r w:rsidR="001E5145" w:rsidRPr="00F621BC">
        <w:rPr>
          <w:color w:val="000000"/>
          <w:szCs w:val="24"/>
        </w:rPr>
        <w:t xml:space="preserve"> civilinių bei </w:t>
      </w:r>
      <w:r w:rsidR="001E5145" w:rsidRPr="00F621BC">
        <w:t xml:space="preserve">234 </w:t>
      </w:r>
      <w:r w:rsidR="001E5145" w:rsidRPr="00F621BC">
        <w:rPr>
          <w:color w:val="000000"/>
          <w:szCs w:val="24"/>
        </w:rPr>
        <w:t xml:space="preserve">administracinių nusižengimų bylos </w:t>
      </w:r>
      <w:r w:rsidR="00541C5F" w:rsidRPr="00F621BC">
        <w:rPr>
          <w:color w:val="000000"/>
          <w:szCs w:val="24"/>
        </w:rPr>
        <w:t>(1 pav.)</w:t>
      </w:r>
      <w:r w:rsidR="001C06AD" w:rsidRPr="00F621BC">
        <w:rPr>
          <w:color w:val="000000"/>
          <w:szCs w:val="24"/>
        </w:rPr>
        <w:t xml:space="preserve">. </w:t>
      </w:r>
      <w:r w:rsidR="00AA4037" w:rsidRPr="00F621BC">
        <w:rPr>
          <w:color w:val="000000"/>
          <w:szCs w:val="24"/>
        </w:rPr>
        <w:t>Iš viso teismas 201</w:t>
      </w:r>
      <w:r w:rsidR="001E5145" w:rsidRPr="00F621BC">
        <w:rPr>
          <w:color w:val="000000"/>
          <w:szCs w:val="24"/>
        </w:rPr>
        <w:t>7</w:t>
      </w:r>
      <w:r w:rsidR="00AA4037" w:rsidRPr="00F621BC">
        <w:rPr>
          <w:color w:val="000000"/>
          <w:szCs w:val="24"/>
        </w:rPr>
        <w:t xml:space="preserve"> metais baigė nagrinėti </w:t>
      </w:r>
      <w:r w:rsidR="001E5145" w:rsidRPr="00F621BC">
        <w:rPr>
          <w:color w:val="000000"/>
          <w:szCs w:val="24"/>
        </w:rPr>
        <w:t xml:space="preserve">1525 </w:t>
      </w:r>
      <w:r w:rsidR="00AA4037" w:rsidRPr="00F621BC">
        <w:rPr>
          <w:color w:val="000000"/>
          <w:szCs w:val="24"/>
        </w:rPr>
        <w:t>byl</w:t>
      </w:r>
      <w:r w:rsidR="00811D95" w:rsidRPr="00F621BC">
        <w:rPr>
          <w:color w:val="000000"/>
          <w:szCs w:val="24"/>
        </w:rPr>
        <w:t>as</w:t>
      </w:r>
      <w:r w:rsidR="00AA4037" w:rsidRPr="00F621BC">
        <w:rPr>
          <w:color w:val="000000"/>
          <w:szCs w:val="24"/>
        </w:rPr>
        <w:t>.</w:t>
      </w:r>
    </w:p>
    <w:p w:rsidR="00A82AF1" w:rsidRPr="00F621BC" w:rsidRDefault="00C8705E" w:rsidP="00C620B1">
      <w:pPr>
        <w:tabs>
          <w:tab w:val="left" w:pos="851"/>
        </w:tabs>
        <w:spacing w:line="360" w:lineRule="auto"/>
        <w:jc w:val="both"/>
        <w:rPr>
          <w:color w:val="000000"/>
          <w:szCs w:val="24"/>
        </w:rPr>
      </w:pPr>
      <w:r w:rsidRPr="00F621BC">
        <w:rPr>
          <w:color w:val="000000"/>
          <w:szCs w:val="24"/>
        </w:rPr>
        <w:t xml:space="preserve">Išnagrinėti </w:t>
      </w:r>
      <w:r w:rsidR="001E5145" w:rsidRPr="00F621BC">
        <w:rPr>
          <w:color w:val="000000"/>
          <w:szCs w:val="24"/>
        </w:rPr>
        <w:t>2</w:t>
      </w:r>
      <w:r w:rsidRPr="00F621BC">
        <w:rPr>
          <w:color w:val="000000"/>
          <w:szCs w:val="24"/>
        </w:rPr>
        <w:t xml:space="preserve"> prašymai dėl proceso atnaujinimo, </w:t>
      </w:r>
      <w:r w:rsidR="00095E4D" w:rsidRPr="00F621BC">
        <w:rPr>
          <w:color w:val="000000"/>
          <w:szCs w:val="24"/>
        </w:rPr>
        <w:t xml:space="preserve">210 ikiteisminio tyrimo dokumentų, 48 teikimai ir prašymai baudžiamųjų bylų vykdymo procese, 161 prašymas civilinių bylų vykdymo procese, 46 </w:t>
      </w:r>
      <w:r w:rsidR="001B641A" w:rsidRPr="00F621BC">
        <w:rPr>
          <w:color w:val="000000"/>
          <w:szCs w:val="24"/>
        </w:rPr>
        <w:t>prašym</w:t>
      </w:r>
      <w:r w:rsidR="00095E4D" w:rsidRPr="00F621BC">
        <w:rPr>
          <w:color w:val="000000"/>
          <w:szCs w:val="24"/>
        </w:rPr>
        <w:t>ai</w:t>
      </w:r>
      <w:r w:rsidR="001B641A" w:rsidRPr="00F621BC">
        <w:rPr>
          <w:color w:val="000000"/>
          <w:szCs w:val="24"/>
        </w:rPr>
        <w:t xml:space="preserve"> </w:t>
      </w:r>
      <w:r w:rsidR="00AA4037" w:rsidRPr="00F621BC">
        <w:rPr>
          <w:color w:val="000000"/>
          <w:szCs w:val="24"/>
        </w:rPr>
        <w:t xml:space="preserve">administracinių </w:t>
      </w:r>
      <w:r w:rsidR="00095E4D" w:rsidRPr="00F621BC">
        <w:rPr>
          <w:color w:val="000000"/>
          <w:szCs w:val="24"/>
        </w:rPr>
        <w:t xml:space="preserve">nusižengimų </w:t>
      </w:r>
      <w:r w:rsidR="00315A3F" w:rsidRPr="00F621BC">
        <w:rPr>
          <w:color w:val="000000"/>
          <w:szCs w:val="24"/>
        </w:rPr>
        <w:t>bylų vykdymo procese.</w:t>
      </w:r>
    </w:p>
    <w:p w:rsidR="009B101F" w:rsidRPr="00F621BC" w:rsidRDefault="009B101F" w:rsidP="00C620B1">
      <w:pPr>
        <w:tabs>
          <w:tab w:val="left" w:pos="851"/>
        </w:tabs>
        <w:spacing w:line="360" w:lineRule="auto"/>
        <w:jc w:val="both"/>
        <w:rPr>
          <w:color w:val="000000"/>
          <w:szCs w:val="24"/>
        </w:rPr>
      </w:pPr>
    </w:p>
    <w:p w:rsidR="00095E4D" w:rsidRPr="00F621BC" w:rsidRDefault="00C41C1E" w:rsidP="00C41C1E">
      <w:pPr>
        <w:tabs>
          <w:tab w:val="left" w:pos="851"/>
        </w:tabs>
        <w:spacing w:line="360" w:lineRule="auto"/>
        <w:jc w:val="center"/>
        <w:rPr>
          <w:color w:val="000000"/>
          <w:szCs w:val="24"/>
        </w:rPr>
      </w:pPr>
      <w:r w:rsidRPr="00F621BC">
        <w:rPr>
          <w:noProof/>
          <w:color w:val="000000"/>
          <w:szCs w:val="24"/>
          <w:lang w:eastAsia="lt-LT"/>
        </w:rPr>
        <w:drawing>
          <wp:inline distT="0" distB="0" distL="0" distR="0" wp14:anchorId="77B82E43" wp14:editId="6FD3BE5E">
            <wp:extent cx="5789570" cy="2317784"/>
            <wp:effectExtent l="0" t="0" r="0" b="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B101F" w:rsidRPr="00F621BC" w:rsidRDefault="009B101F" w:rsidP="009B101F">
      <w:pPr>
        <w:tabs>
          <w:tab w:val="left" w:pos="851"/>
        </w:tabs>
        <w:spacing w:line="360" w:lineRule="auto"/>
        <w:jc w:val="center"/>
        <w:rPr>
          <w:i/>
          <w:color w:val="000000"/>
          <w:sz w:val="20"/>
        </w:rPr>
      </w:pPr>
      <w:r w:rsidRPr="00F621BC">
        <w:rPr>
          <w:color w:val="000000"/>
          <w:szCs w:val="24"/>
        </w:rPr>
        <w:tab/>
      </w:r>
      <w:r w:rsidRPr="00F621BC">
        <w:rPr>
          <w:i/>
          <w:color w:val="000000"/>
          <w:sz w:val="20"/>
        </w:rPr>
        <w:t>1 pav.</w:t>
      </w:r>
    </w:p>
    <w:p w:rsidR="00541C5F" w:rsidRPr="00F621BC" w:rsidRDefault="00541C5F" w:rsidP="00C62008">
      <w:pPr>
        <w:tabs>
          <w:tab w:val="left" w:pos="851"/>
        </w:tabs>
        <w:spacing w:line="360" w:lineRule="auto"/>
        <w:ind w:firstLine="1134"/>
        <w:jc w:val="both"/>
        <w:rPr>
          <w:color w:val="000000"/>
          <w:szCs w:val="24"/>
        </w:rPr>
      </w:pPr>
      <w:r w:rsidRPr="00F621BC">
        <w:rPr>
          <w:color w:val="000000"/>
          <w:szCs w:val="24"/>
        </w:rPr>
        <w:t xml:space="preserve">2 </w:t>
      </w:r>
      <w:r w:rsidR="00A13468" w:rsidRPr="00F621BC">
        <w:rPr>
          <w:color w:val="000000"/>
          <w:szCs w:val="24"/>
        </w:rPr>
        <w:t>ir 3 paveikslėliuose</w:t>
      </w:r>
      <w:r w:rsidR="004704B1" w:rsidRPr="00F621BC">
        <w:rPr>
          <w:color w:val="000000"/>
          <w:szCs w:val="24"/>
        </w:rPr>
        <w:t xml:space="preserve"> </w:t>
      </w:r>
      <w:r w:rsidRPr="00F621BC">
        <w:rPr>
          <w:color w:val="000000"/>
          <w:szCs w:val="24"/>
        </w:rPr>
        <w:t xml:space="preserve">pateikta baudžiamųjų </w:t>
      </w:r>
      <w:r w:rsidR="00A13468" w:rsidRPr="00F621BC">
        <w:rPr>
          <w:color w:val="000000"/>
          <w:szCs w:val="24"/>
        </w:rPr>
        <w:t xml:space="preserve">ir civilinių </w:t>
      </w:r>
      <w:r w:rsidRPr="00F621BC">
        <w:rPr>
          <w:color w:val="000000"/>
          <w:szCs w:val="24"/>
        </w:rPr>
        <w:t xml:space="preserve">bylų </w:t>
      </w:r>
      <w:r w:rsidR="004704B1" w:rsidRPr="00F621BC">
        <w:rPr>
          <w:color w:val="000000"/>
          <w:szCs w:val="24"/>
        </w:rPr>
        <w:t xml:space="preserve">nagrinėjimo </w:t>
      </w:r>
      <w:r w:rsidRPr="00F621BC">
        <w:rPr>
          <w:color w:val="000000"/>
          <w:szCs w:val="24"/>
        </w:rPr>
        <w:t>statistika 201</w:t>
      </w:r>
      <w:r w:rsidR="004704B1" w:rsidRPr="00F621BC">
        <w:rPr>
          <w:color w:val="000000"/>
          <w:szCs w:val="24"/>
        </w:rPr>
        <w:t>7</w:t>
      </w:r>
      <w:r w:rsidRPr="00F621BC">
        <w:rPr>
          <w:color w:val="000000"/>
          <w:szCs w:val="24"/>
        </w:rPr>
        <w:t xml:space="preserve"> metais. </w:t>
      </w:r>
    </w:p>
    <w:p w:rsidR="004704B1" w:rsidRPr="00F621BC" w:rsidRDefault="004704B1" w:rsidP="004704B1">
      <w:pPr>
        <w:tabs>
          <w:tab w:val="left" w:pos="851"/>
        </w:tabs>
        <w:spacing w:line="360" w:lineRule="auto"/>
        <w:jc w:val="center"/>
        <w:rPr>
          <w:color w:val="000000"/>
          <w:szCs w:val="24"/>
        </w:rPr>
      </w:pPr>
      <w:r w:rsidRPr="00F621BC">
        <w:rPr>
          <w:noProof/>
          <w:color w:val="000000"/>
          <w:szCs w:val="24"/>
          <w:lang w:eastAsia="lt-LT"/>
        </w:rPr>
        <w:lastRenderedPageBreak/>
        <w:drawing>
          <wp:inline distT="0" distB="0" distL="0" distR="0" wp14:anchorId="293B09EC" wp14:editId="58F85A41">
            <wp:extent cx="5486400" cy="3090379"/>
            <wp:effectExtent l="0" t="0" r="0" b="0"/>
            <wp:docPr id="11" name="Diagrama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C06AD" w:rsidRPr="00F621BC" w:rsidRDefault="00541C5F" w:rsidP="00C620B1">
      <w:pPr>
        <w:tabs>
          <w:tab w:val="left" w:pos="851"/>
        </w:tabs>
        <w:spacing w:line="360" w:lineRule="auto"/>
        <w:jc w:val="center"/>
        <w:rPr>
          <w:i/>
          <w:color w:val="000000"/>
          <w:sz w:val="20"/>
        </w:rPr>
      </w:pPr>
      <w:r w:rsidRPr="00F621BC">
        <w:rPr>
          <w:i/>
          <w:color w:val="000000"/>
          <w:sz w:val="20"/>
        </w:rPr>
        <w:t>2 pav.</w:t>
      </w:r>
    </w:p>
    <w:p w:rsidR="008721FC" w:rsidRPr="00F621BC" w:rsidRDefault="008721FC" w:rsidP="008721FC">
      <w:pPr>
        <w:pStyle w:val="Betarp"/>
      </w:pPr>
      <w:r w:rsidRPr="00F621BC">
        <w:tab/>
      </w:r>
      <w:r w:rsidRPr="00F621BC">
        <w:tab/>
      </w:r>
    </w:p>
    <w:tbl>
      <w:tblPr>
        <w:tblW w:w="10032" w:type="dxa"/>
        <w:jc w:val="center"/>
        <w:tblLook w:val="04A0" w:firstRow="1" w:lastRow="0" w:firstColumn="1" w:lastColumn="0" w:noHBand="0" w:noVBand="1"/>
      </w:tblPr>
      <w:tblGrid>
        <w:gridCol w:w="2094"/>
        <w:gridCol w:w="1740"/>
        <w:gridCol w:w="1543"/>
        <w:gridCol w:w="1510"/>
        <w:gridCol w:w="1510"/>
        <w:gridCol w:w="1635"/>
      </w:tblGrid>
      <w:tr w:rsidR="00340748" w:rsidRPr="00F621BC" w:rsidTr="00C62008">
        <w:trPr>
          <w:trHeight w:val="570"/>
          <w:jc w:val="center"/>
        </w:trPr>
        <w:tc>
          <w:tcPr>
            <w:tcW w:w="20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06AD" w:rsidRPr="00F621BC" w:rsidRDefault="001C06AD" w:rsidP="001779C6">
            <w:pPr>
              <w:pStyle w:val="Betarp"/>
              <w:rPr>
                <w:lang w:eastAsia="lt-LT"/>
              </w:rPr>
            </w:pPr>
            <w:r w:rsidRPr="00F621BC">
              <w:rPr>
                <w:lang w:eastAsia="lt-LT"/>
              </w:rPr>
              <w:t>Baigta baudžiamųjų bylų</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1C06AD" w:rsidRPr="00F621BC" w:rsidRDefault="001C06AD" w:rsidP="001779C6">
            <w:pPr>
              <w:pStyle w:val="Betarp"/>
              <w:rPr>
                <w:lang w:eastAsia="lt-LT"/>
              </w:rPr>
            </w:pPr>
            <w:r w:rsidRPr="00F621BC">
              <w:rPr>
                <w:lang w:eastAsia="lt-LT"/>
              </w:rPr>
              <w:t>Priimta nuosprendžių</w:t>
            </w:r>
          </w:p>
        </w:tc>
        <w:tc>
          <w:tcPr>
            <w:tcW w:w="1543" w:type="dxa"/>
            <w:tcBorders>
              <w:top w:val="single" w:sz="4" w:space="0" w:color="auto"/>
              <w:left w:val="nil"/>
              <w:bottom w:val="single" w:sz="4" w:space="0" w:color="auto"/>
              <w:right w:val="single" w:sz="4" w:space="0" w:color="auto"/>
            </w:tcBorders>
            <w:shd w:val="clear" w:color="auto" w:fill="auto"/>
            <w:vAlign w:val="center"/>
            <w:hideMark/>
          </w:tcPr>
          <w:p w:rsidR="001C06AD" w:rsidRPr="00F621BC" w:rsidRDefault="001C06AD" w:rsidP="001779C6">
            <w:pPr>
              <w:pStyle w:val="Betarp"/>
              <w:rPr>
                <w:lang w:eastAsia="lt-LT"/>
              </w:rPr>
            </w:pPr>
            <w:r w:rsidRPr="00F621BC">
              <w:rPr>
                <w:lang w:eastAsia="lt-LT"/>
              </w:rPr>
              <w:t>Apskųsta nuosprendžių</w:t>
            </w:r>
          </w:p>
        </w:tc>
        <w:tc>
          <w:tcPr>
            <w:tcW w:w="1510" w:type="dxa"/>
            <w:tcBorders>
              <w:top w:val="single" w:sz="4" w:space="0" w:color="auto"/>
              <w:left w:val="nil"/>
              <w:bottom w:val="single" w:sz="4" w:space="0" w:color="auto"/>
              <w:right w:val="single" w:sz="4" w:space="0" w:color="auto"/>
            </w:tcBorders>
            <w:shd w:val="clear" w:color="auto" w:fill="auto"/>
            <w:vAlign w:val="center"/>
            <w:hideMark/>
          </w:tcPr>
          <w:p w:rsidR="001C06AD" w:rsidRPr="00F621BC" w:rsidRDefault="001C06AD" w:rsidP="001779C6">
            <w:pPr>
              <w:pStyle w:val="Betarp"/>
              <w:rPr>
                <w:lang w:eastAsia="lt-LT"/>
              </w:rPr>
            </w:pPr>
            <w:r w:rsidRPr="00F621BC">
              <w:rPr>
                <w:lang w:eastAsia="lt-LT"/>
              </w:rPr>
              <w:t>Pakeista nuosprendžių</w:t>
            </w:r>
          </w:p>
        </w:tc>
        <w:tc>
          <w:tcPr>
            <w:tcW w:w="1510" w:type="dxa"/>
            <w:tcBorders>
              <w:top w:val="single" w:sz="4" w:space="0" w:color="auto"/>
              <w:left w:val="nil"/>
              <w:bottom w:val="single" w:sz="4" w:space="0" w:color="auto"/>
              <w:right w:val="single" w:sz="4" w:space="0" w:color="auto"/>
            </w:tcBorders>
            <w:shd w:val="clear" w:color="auto" w:fill="auto"/>
            <w:vAlign w:val="center"/>
            <w:hideMark/>
          </w:tcPr>
          <w:p w:rsidR="001C06AD" w:rsidRPr="00F621BC" w:rsidRDefault="001C06AD" w:rsidP="001779C6">
            <w:pPr>
              <w:pStyle w:val="Betarp"/>
              <w:rPr>
                <w:lang w:eastAsia="lt-LT"/>
              </w:rPr>
            </w:pPr>
            <w:r w:rsidRPr="00F621BC">
              <w:rPr>
                <w:lang w:eastAsia="lt-LT"/>
              </w:rPr>
              <w:t>Panaikinta nuosprendžių</w:t>
            </w:r>
          </w:p>
        </w:tc>
        <w:tc>
          <w:tcPr>
            <w:tcW w:w="1635" w:type="dxa"/>
            <w:tcBorders>
              <w:top w:val="single" w:sz="4" w:space="0" w:color="auto"/>
              <w:left w:val="nil"/>
              <w:bottom w:val="single" w:sz="4" w:space="0" w:color="auto"/>
              <w:right w:val="single" w:sz="4" w:space="0" w:color="auto"/>
            </w:tcBorders>
            <w:shd w:val="clear" w:color="auto" w:fill="auto"/>
            <w:vAlign w:val="center"/>
            <w:hideMark/>
          </w:tcPr>
          <w:p w:rsidR="001C06AD" w:rsidRPr="00F621BC" w:rsidRDefault="001C06AD" w:rsidP="001779C6">
            <w:pPr>
              <w:pStyle w:val="Betarp"/>
              <w:rPr>
                <w:lang w:eastAsia="lt-LT"/>
              </w:rPr>
            </w:pPr>
            <w:r w:rsidRPr="00F621BC">
              <w:rPr>
                <w:lang w:eastAsia="lt-LT"/>
              </w:rPr>
              <w:t>Nuosprendžių stabilumas</w:t>
            </w:r>
          </w:p>
        </w:tc>
      </w:tr>
      <w:tr w:rsidR="00340748" w:rsidRPr="00F621BC" w:rsidTr="00C62008">
        <w:trPr>
          <w:trHeight w:val="300"/>
          <w:jc w:val="center"/>
        </w:trPr>
        <w:tc>
          <w:tcPr>
            <w:tcW w:w="2094" w:type="dxa"/>
            <w:tcBorders>
              <w:top w:val="nil"/>
              <w:left w:val="single" w:sz="4" w:space="0" w:color="auto"/>
              <w:bottom w:val="single" w:sz="4" w:space="0" w:color="auto"/>
              <w:right w:val="single" w:sz="4" w:space="0" w:color="auto"/>
            </w:tcBorders>
            <w:shd w:val="clear" w:color="auto" w:fill="auto"/>
            <w:noWrap/>
            <w:vAlign w:val="center"/>
          </w:tcPr>
          <w:p w:rsidR="001C06AD" w:rsidRPr="00F621BC" w:rsidRDefault="00C62008" w:rsidP="00C620B1">
            <w:pPr>
              <w:spacing w:line="360" w:lineRule="auto"/>
              <w:jc w:val="center"/>
              <w:rPr>
                <w:color w:val="000000"/>
                <w:szCs w:val="24"/>
                <w:lang w:eastAsia="lt-LT"/>
              </w:rPr>
            </w:pPr>
            <w:r w:rsidRPr="00F621BC">
              <w:rPr>
                <w:color w:val="000000"/>
                <w:szCs w:val="24"/>
                <w:lang w:eastAsia="lt-LT"/>
              </w:rPr>
              <w:t>141</w:t>
            </w:r>
          </w:p>
        </w:tc>
        <w:tc>
          <w:tcPr>
            <w:tcW w:w="1740" w:type="dxa"/>
            <w:tcBorders>
              <w:top w:val="nil"/>
              <w:left w:val="nil"/>
              <w:bottom w:val="single" w:sz="4" w:space="0" w:color="auto"/>
              <w:right w:val="single" w:sz="4" w:space="0" w:color="auto"/>
            </w:tcBorders>
            <w:shd w:val="clear" w:color="auto" w:fill="auto"/>
            <w:noWrap/>
            <w:vAlign w:val="center"/>
          </w:tcPr>
          <w:p w:rsidR="001C06AD" w:rsidRPr="00F621BC" w:rsidRDefault="00C62008" w:rsidP="00C620B1">
            <w:pPr>
              <w:spacing w:line="360" w:lineRule="auto"/>
              <w:jc w:val="center"/>
              <w:rPr>
                <w:color w:val="000000"/>
                <w:szCs w:val="24"/>
                <w:lang w:eastAsia="lt-LT"/>
              </w:rPr>
            </w:pPr>
            <w:r w:rsidRPr="00F621BC">
              <w:rPr>
                <w:color w:val="000000"/>
                <w:szCs w:val="24"/>
                <w:lang w:eastAsia="lt-LT"/>
              </w:rPr>
              <w:t>38</w:t>
            </w:r>
          </w:p>
        </w:tc>
        <w:tc>
          <w:tcPr>
            <w:tcW w:w="1543" w:type="dxa"/>
            <w:tcBorders>
              <w:top w:val="nil"/>
              <w:left w:val="nil"/>
              <w:bottom w:val="single" w:sz="4" w:space="0" w:color="auto"/>
              <w:right w:val="single" w:sz="4" w:space="0" w:color="auto"/>
            </w:tcBorders>
            <w:shd w:val="clear" w:color="auto" w:fill="auto"/>
            <w:noWrap/>
            <w:vAlign w:val="center"/>
          </w:tcPr>
          <w:p w:rsidR="001C06AD" w:rsidRPr="00F621BC" w:rsidRDefault="00C62008" w:rsidP="00341D88">
            <w:pPr>
              <w:spacing w:line="360" w:lineRule="auto"/>
              <w:jc w:val="center"/>
              <w:rPr>
                <w:color w:val="000000"/>
                <w:szCs w:val="24"/>
                <w:lang w:eastAsia="lt-LT"/>
              </w:rPr>
            </w:pPr>
            <w:r w:rsidRPr="00F621BC">
              <w:rPr>
                <w:color w:val="000000"/>
                <w:szCs w:val="24"/>
                <w:lang w:eastAsia="lt-LT"/>
              </w:rPr>
              <w:t>9</w:t>
            </w:r>
          </w:p>
        </w:tc>
        <w:tc>
          <w:tcPr>
            <w:tcW w:w="1510" w:type="dxa"/>
            <w:tcBorders>
              <w:top w:val="nil"/>
              <w:left w:val="nil"/>
              <w:bottom w:val="single" w:sz="4" w:space="0" w:color="auto"/>
              <w:right w:val="single" w:sz="4" w:space="0" w:color="auto"/>
            </w:tcBorders>
            <w:shd w:val="clear" w:color="auto" w:fill="auto"/>
            <w:noWrap/>
            <w:vAlign w:val="center"/>
          </w:tcPr>
          <w:p w:rsidR="001C06AD" w:rsidRPr="00F621BC" w:rsidRDefault="00C62008" w:rsidP="00C620B1">
            <w:pPr>
              <w:spacing w:line="360" w:lineRule="auto"/>
              <w:jc w:val="center"/>
              <w:rPr>
                <w:color w:val="000000"/>
                <w:szCs w:val="24"/>
                <w:lang w:eastAsia="lt-LT"/>
              </w:rPr>
            </w:pPr>
            <w:r w:rsidRPr="00F621BC">
              <w:rPr>
                <w:color w:val="000000"/>
                <w:szCs w:val="24"/>
                <w:lang w:eastAsia="lt-LT"/>
              </w:rPr>
              <w:t>0</w:t>
            </w:r>
          </w:p>
        </w:tc>
        <w:tc>
          <w:tcPr>
            <w:tcW w:w="1510" w:type="dxa"/>
            <w:tcBorders>
              <w:top w:val="nil"/>
              <w:left w:val="nil"/>
              <w:bottom w:val="single" w:sz="4" w:space="0" w:color="auto"/>
              <w:right w:val="single" w:sz="4" w:space="0" w:color="auto"/>
            </w:tcBorders>
            <w:shd w:val="clear" w:color="auto" w:fill="auto"/>
            <w:noWrap/>
            <w:vAlign w:val="center"/>
          </w:tcPr>
          <w:p w:rsidR="001C06AD" w:rsidRPr="00F621BC" w:rsidRDefault="00C62008" w:rsidP="00811D95">
            <w:pPr>
              <w:spacing w:line="360" w:lineRule="auto"/>
              <w:jc w:val="center"/>
              <w:rPr>
                <w:color w:val="000000"/>
                <w:szCs w:val="24"/>
                <w:lang w:eastAsia="lt-LT"/>
              </w:rPr>
            </w:pPr>
            <w:r w:rsidRPr="00F621BC">
              <w:rPr>
                <w:color w:val="000000"/>
                <w:szCs w:val="24"/>
                <w:lang w:eastAsia="lt-LT"/>
              </w:rPr>
              <w:t>1</w:t>
            </w:r>
          </w:p>
        </w:tc>
        <w:tc>
          <w:tcPr>
            <w:tcW w:w="1635" w:type="dxa"/>
            <w:tcBorders>
              <w:top w:val="nil"/>
              <w:left w:val="nil"/>
              <w:bottom w:val="single" w:sz="4" w:space="0" w:color="auto"/>
              <w:right w:val="single" w:sz="4" w:space="0" w:color="auto"/>
            </w:tcBorders>
            <w:shd w:val="clear" w:color="auto" w:fill="auto"/>
            <w:noWrap/>
            <w:vAlign w:val="center"/>
          </w:tcPr>
          <w:p w:rsidR="001C06AD" w:rsidRPr="00F621BC" w:rsidRDefault="00C62008" w:rsidP="00811D95">
            <w:pPr>
              <w:spacing w:line="360" w:lineRule="auto"/>
              <w:jc w:val="center"/>
              <w:rPr>
                <w:color w:val="000000"/>
                <w:szCs w:val="24"/>
                <w:lang w:eastAsia="lt-LT"/>
              </w:rPr>
            </w:pPr>
            <w:r w:rsidRPr="00F621BC">
              <w:rPr>
                <w:color w:val="000000"/>
                <w:szCs w:val="24"/>
                <w:lang w:eastAsia="lt-LT"/>
              </w:rPr>
              <w:t>97,37</w:t>
            </w:r>
          </w:p>
        </w:tc>
      </w:tr>
    </w:tbl>
    <w:p w:rsidR="0035008D" w:rsidRPr="00F621BC" w:rsidRDefault="0035008D" w:rsidP="00C620B1">
      <w:pPr>
        <w:tabs>
          <w:tab w:val="left" w:pos="851"/>
        </w:tabs>
        <w:spacing w:line="360" w:lineRule="auto"/>
        <w:ind w:firstLine="851"/>
        <w:jc w:val="both"/>
        <w:rPr>
          <w:color w:val="000000"/>
          <w:szCs w:val="24"/>
        </w:rPr>
      </w:pPr>
    </w:p>
    <w:p w:rsidR="00C62008" w:rsidRPr="00F621BC" w:rsidRDefault="008721FC" w:rsidP="00535224">
      <w:pPr>
        <w:tabs>
          <w:tab w:val="left" w:pos="851"/>
        </w:tabs>
        <w:spacing w:line="360" w:lineRule="auto"/>
        <w:ind w:firstLine="851"/>
        <w:jc w:val="center"/>
        <w:rPr>
          <w:color w:val="000000"/>
          <w:szCs w:val="24"/>
        </w:rPr>
      </w:pPr>
      <w:r w:rsidRPr="00F621BC">
        <w:rPr>
          <w:noProof/>
          <w:color w:val="000000"/>
          <w:szCs w:val="24"/>
          <w:lang w:eastAsia="lt-LT"/>
        </w:rPr>
        <w:drawing>
          <wp:inline distT="0" distB="0" distL="0" distR="0" wp14:anchorId="4AAB604E" wp14:editId="2B9A715F">
            <wp:extent cx="5486400" cy="3200400"/>
            <wp:effectExtent l="0" t="0" r="19050" b="19050"/>
            <wp:docPr id="12" name="Diagrama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C06AD" w:rsidRPr="00F621BC" w:rsidRDefault="00A13468" w:rsidP="00C620B1">
      <w:pPr>
        <w:tabs>
          <w:tab w:val="left" w:pos="851"/>
        </w:tabs>
        <w:spacing w:line="360" w:lineRule="auto"/>
        <w:jc w:val="center"/>
        <w:rPr>
          <w:i/>
          <w:color w:val="000000"/>
          <w:sz w:val="20"/>
        </w:rPr>
      </w:pPr>
      <w:r w:rsidRPr="00F621BC">
        <w:rPr>
          <w:i/>
          <w:color w:val="000000"/>
          <w:sz w:val="20"/>
        </w:rPr>
        <w:t>3 pav.</w:t>
      </w:r>
    </w:p>
    <w:p w:rsidR="001C06AD" w:rsidRPr="00F621BC" w:rsidRDefault="001C06AD" w:rsidP="00C620B1">
      <w:pPr>
        <w:tabs>
          <w:tab w:val="left" w:pos="851"/>
        </w:tabs>
        <w:spacing w:line="360" w:lineRule="auto"/>
        <w:jc w:val="both"/>
        <w:rPr>
          <w:color w:val="000000"/>
          <w:szCs w:val="24"/>
        </w:rPr>
      </w:pPr>
    </w:p>
    <w:tbl>
      <w:tblPr>
        <w:tblpPr w:leftFromText="180" w:rightFromText="180" w:vertAnchor="text" w:horzAnchor="margin" w:tblpXSpec="center" w:tblpY="-75"/>
        <w:tblW w:w="0" w:type="auto"/>
        <w:tblLook w:val="04A0" w:firstRow="1" w:lastRow="0" w:firstColumn="1" w:lastColumn="0" w:noHBand="0" w:noVBand="1"/>
      </w:tblPr>
      <w:tblGrid>
        <w:gridCol w:w="1599"/>
        <w:gridCol w:w="1610"/>
        <w:gridCol w:w="1702"/>
        <w:gridCol w:w="1656"/>
        <w:gridCol w:w="1762"/>
        <w:gridCol w:w="1808"/>
      </w:tblGrid>
      <w:tr w:rsidR="001779C6" w:rsidRPr="00F621BC" w:rsidTr="001779C6">
        <w:trPr>
          <w:trHeight w:val="6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779C6" w:rsidRPr="00F621BC" w:rsidRDefault="001779C6" w:rsidP="001779C6">
            <w:pPr>
              <w:pStyle w:val="Betarp"/>
              <w:rPr>
                <w:lang w:eastAsia="lt-LT"/>
              </w:rPr>
            </w:pPr>
            <w:r w:rsidRPr="00F621BC">
              <w:rPr>
                <w:lang w:eastAsia="lt-LT"/>
              </w:rPr>
              <w:t xml:space="preserve">Baigta civilinių bylų </w:t>
            </w:r>
          </w:p>
        </w:tc>
        <w:tc>
          <w:tcPr>
            <w:tcW w:w="0" w:type="auto"/>
            <w:tcBorders>
              <w:top w:val="single" w:sz="4" w:space="0" w:color="auto"/>
              <w:left w:val="nil"/>
              <w:bottom w:val="single" w:sz="4" w:space="0" w:color="auto"/>
              <w:right w:val="single" w:sz="4" w:space="0" w:color="auto"/>
            </w:tcBorders>
          </w:tcPr>
          <w:p w:rsidR="001779C6" w:rsidRPr="00F621BC" w:rsidRDefault="001779C6" w:rsidP="001779C6">
            <w:pPr>
              <w:pStyle w:val="Betarp"/>
              <w:rPr>
                <w:lang w:eastAsia="lt-LT"/>
              </w:rPr>
            </w:pPr>
            <w:r w:rsidRPr="00F621BC">
              <w:rPr>
                <w:lang w:eastAsia="lt-LT"/>
              </w:rPr>
              <w:t>Priimta sprendimų</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1779C6" w:rsidRPr="00F621BC" w:rsidRDefault="001779C6" w:rsidP="001779C6">
            <w:pPr>
              <w:pStyle w:val="Betarp"/>
              <w:rPr>
                <w:lang w:eastAsia="lt-LT"/>
              </w:rPr>
            </w:pPr>
            <w:r w:rsidRPr="00F621BC">
              <w:rPr>
                <w:lang w:eastAsia="lt-LT"/>
              </w:rPr>
              <w:t>Apskųsta sprendimų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779C6" w:rsidRPr="00F621BC" w:rsidRDefault="001779C6" w:rsidP="001779C6">
            <w:pPr>
              <w:pStyle w:val="Betarp"/>
              <w:rPr>
                <w:lang w:eastAsia="lt-LT"/>
              </w:rPr>
            </w:pPr>
            <w:r w:rsidRPr="00F621BC">
              <w:rPr>
                <w:lang w:eastAsia="lt-LT"/>
              </w:rPr>
              <w:t>Pakeista sprendimų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779C6" w:rsidRPr="00F621BC" w:rsidRDefault="001779C6" w:rsidP="001779C6">
            <w:pPr>
              <w:pStyle w:val="Betarp"/>
              <w:rPr>
                <w:lang w:eastAsia="lt-LT"/>
              </w:rPr>
            </w:pPr>
            <w:r w:rsidRPr="00F621BC">
              <w:rPr>
                <w:lang w:eastAsia="lt-LT"/>
              </w:rPr>
              <w:t>Panaikinta sprendimų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1779C6" w:rsidRPr="00F621BC" w:rsidRDefault="001779C6" w:rsidP="001779C6">
            <w:pPr>
              <w:pStyle w:val="Betarp"/>
              <w:rPr>
                <w:lang w:eastAsia="lt-LT"/>
              </w:rPr>
            </w:pPr>
            <w:r w:rsidRPr="00F621BC">
              <w:rPr>
                <w:lang w:eastAsia="lt-LT"/>
              </w:rPr>
              <w:t>Sprendimų stabilumas</w:t>
            </w:r>
          </w:p>
        </w:tc>
      </w:tr>
      <w:tr w:rsidR="001779C6" w:rsidRPr="00F621BC" w:rsidTr="001779C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tcPr>
          <w:p w:rsidR="001779C6" w:rsidRPr="00F621BC" w:rsidRDefault="001779C6" w:rsidP="00C620B1">
            <w:pPr>
              <w:spacing w:line="360" w:lineRule="auto"/>
              <w:jc w:val="center"/>
              <w:rPr>
                <w:color w:val="000000"/>
                <w:szCs w:val="24"/>
                <w:lang w:eastAsia="lt-LT"/>
              </w:rPr>
            </w:pPr>
            <w:r w:rsidRPr="00F621BC">
              <w:rPr>
                <w:color w:val="000000"/>
                <w:szCs w:val="24"/>
                <w:lang w:eastAsia="lt-LT"/>
              </w:rPr>
              <w:t>1150</w:t>
            </w:r>
          </w:p>
        </w:tc>
        <w:tc>
          <w:tcPr>
            <w:tcW w:w="0" w:type="auto"/>
            <w:tcBorders>
              <w:top w:val="single" w:sz="4" w:space="0" w:color="auto"/>
              <w:left w:val="nil"/>
              <w:bottom w:val="single" w:sz="4" w:space="0" w:color="auto"/>
              <w:right w:val="single" w:sz="4" w:space="0" w:color="auto"/>
            </w:tcBorders>
          </w:tcPr>
          <w:p w:rsidR="001779C6" w:rsidRPr="00F621BC" w:rsidRDefault="001779C6" w:rsidP="00C620B1">
            <w:pPr>
              <w:spacing w:line="360" w:lineRule="auto"/>
              <w:jc w:val="center"/>
              <w:rPr>
                <w:color w:val="000000"/>
                <w:szCs w:val="24"/>
                <w:lang w:eastAsia="lt-LT"/>
              </w:rPr>
            </w:pPr>
            <w:r w:rsidRPr="00F621BC">
              <w:rPr>
                <w:color w:val="000000"/>
                <w:szCs w:val="24"/>
                <w:lang w:eastAsia="lt-LT"/>
              </w:rPr>
              <w:t>195</w:t>
            </w:r>
          </w:p>
        </w:tc>
        <w:tc>
          <w:tcPr>
            <w:tcW w:w="0" w:type="auto"/>
            <w:tcBorders>
              <w:top w:val="nil"/>
              <w:left w:val="single" w:sz="4" w:space="0" w:color="auto"/>
              <w:bottom w:val="single" w:sz="4" w:space="0" w:color="auto"/>
              <w:right w:val="single" w:sz="4" w:space="0" w:color="auto"/>
            </w:tcBorders>
            <w:shd w:val="clear" w:color="auto" w:fill="auto"/>
            <w:noWrap/>
            <w:vAlign w:val="center"/>
          </w:tcPr>
          <w:p w:rsidR="001779C6" w:rsidRPr="00F621BC" w:rsidRDefault="001779C6" w:rsidP="00C620B1">
            <w:pPr>
              <w:spacing w:line="360" w:lineRule="auto"/>
              <w:jc w:val="center"/>
              <w:rPr>
                <w:color w:val="000000"/>
                <w:szCs w:val="24"/>
                <w:lang w:eastAsia="lt-LT"/>
              </w:rPr>
            </w:pPr>
            <w:r w:rsidRPr="00F621BC">
              <w:rPr>
                <w:color w:val="000000"/>
                <w:szCs w:val="24"/>
                <w:lang w:eastAsia="lt-LT"/>
              </w:rPr>
              <w:t>7</w:t>
            </w:r>
          </w:p>
        </w:tc>
        <w:tc>
          <w:tcPr>
            <w:tcW w:w="0" w:type="auto"/>
            <w:tcBorders>
              <w:top w:val="nil"/>
              <w:left w:val="nil"/>
              <w:bottom w:val="single" w:sz="4" w:space="0" w:color="auto"/>
              <w:right w:val="single" w:sz="4" w:space="0" w:color="auto"/>
            </w:tcBorders>
            <w:shd w:val="clear" w:color="auto" w:fill="auto"/>
            <w:noWrap/>
            <w:vAlign w:val="center"/>
          </w:tcPr>
          <w:p w:rsidR="001779C6" w:rsidRPr="00F621BC" w:rsidRDefault="001779C6" w:rsidP="00C620B1">
            <w:pPr>
              <w:spacing w:line="360" w:lineRule="auto"/>
              <w:jc w:val="center"/>
              <w:rPr>
                <w:color w:val="000000"/>
                <w:szCs w:val="24"/>
                <w:lang w:eastAsia="lt-LT"/>
              </w:rPr>
            </w:pPr>
            <w:r w:rsidRPr="00F621BC">
              <w:rPr>
                <w:color w:val="000000"/>
                <w:szCs w:val="24"/>
                <w:lang w:eastAsia="lt-LT"/>
              </w:rPr>
              <w:t>1</w:t>
            </w:r>
          </w:p>
        </w:tc>
        <w:tc>
          <w:tcPr>
            <w:tcW w:w="0" w:type="auto"/>
            <w:tcBorders>
              <w:top w:val="nil"/>
              <w:left w:val="nil"/>
              <w:bottom w:val="single" w:sz="4" w:space="0" w:color="auto"/>
              <w:right w:val="single" w:sz="4" w:space="0" w:color="auto"/>
            </w:tcBorders>
            <w:shd w:val="clear" w:color="auto" w:fill="auto"/>
            <w:noWrap/>
            <w:vAlign w:val="center"/>
          </w:tcPr>
          <w:p w:rsidR="001779C6" w:rsidRPr="00F621BC" w:rsidRDefault="001779C6" w:rsidP="00865F61">
            <w:pPr>
              <w:spacing w:line="360" w:lineRule="auto"/>
              <w:jc w:val="center"/>
              <w:rPr>
                <w:color w:val="000000"/>
                <w:szCs w:val="24"/>
                <w:lang w:eastAsia="lt-LT"/>
              </w:rPr>
            </w:pPr>
            <w:r w:rsidRPr="00F621BC">
              <w:rPr>
                <w:color w:val="000000"/>
                <w:szCs w:val="24"/>
                <w:lang w:eastAsia="lt-LT"/>
              </w:rPr>
              <w:t>2</w:t>
            </w:r>
          </w:p>
        </w:tc>
        <w:tc>
          <w:tcPr>
            <w:tcW w:w="0" w:type="auto"/>
            <w:tcBorders>
              <w:top w:val="nil"/>
              <w:left w:val="nil"/>
              <w:bottom w:val="single" w:sz="4" w:space="0" w:color="auto"/>
              <w:right w:val="single" w:sz="4" w:space="0" w:color="auto"/>
            </w:tcBorders>
            <w:shd w:val="clear" w:color="auto" w:fill="auto"/>
            <w:noWrap/>
            <w:vAlign w:val="center"/>
          </w:tcPr>
          <w:p w:rsidR="001779C6" w:rsidRPr="00F621BC" w:rsidRDefault="001779C6" w:rsidP="00811D95">
            <w:pPr>
              <w:spacing w:line="360" w:lineRule="auto"/>
              <w:jc w:val="center"/>
              <w:rPr>
                <w:color w:val="000000"/>
                <w:szCs w:val="24"/>
                <w:lang w:eastAsia="lt-LT"/>
              </w:rPr>
            </w:pPr>
            <w:r w:rsidRPr="00F621BC">
              <w:rPr>
                <w:color w:val="000000"/>
                <w:szCs w:val="24"/>
                <w:lang w:eastAsia="lt-LT"/>
              </w:rPr>
              <w:t>99,84</w:t>
            </w:r>
          </w:p>
        </w:tc>
      </w:tr>
    </w:tbl>
    <w:p w:rsidR="001C06AD" w:rsidRPr="00F621BC" w:rsidRDefault="001C06AD" w:rsidP="00C620B1">
      <w:pPr>
        <w:tabs>
          <w:tab w:val="left" w:pos="851"/>
        </w:tabs>
        <w:spacing w:line="360" w:lineRule="auto"/>
        <w:ind w:firstLine="851"/>
        <w:jc w:val="both"/>
        <w:rPr>
          <w:color w:val="000000"/>
          <w:szCs w:val="24"/>
        </w:rPr>
      </w:pPr>
    </w:p>
    <w:p w:rsidR="00CA72D5" w:rsidRPr="00F621BC" w:rsidRDefault="00BC7A7D" w:rsidP="001779C6">
      <w:pPr>
        <w:tabs>
          <w:tab w:val="left" w:pos="851"/>
        </w:tabs>
        <w:spacing w:line="360" w:lineRule="auto"/>
        <w:ind w:firstLine="1134"/>
        <w:jc w:val="both"/>
        <w:rPr>
          <w:color w:val="000000"/>
          <w:szCs w:val="24"/>
        </w:rPr>
      </w:pPr>
      <w:r w:rsidRPr="00F621BC">
        <w:rPr>
          <w:color w:val="000000"/>
          <w:szCs w:val="24"/>
        </w:rPr>
        <w:t>B</w:t>
      </w:r>
      <w:r w:rsidR="00CA72D5" w:rsidRPr="00F621BC">
        <w:rPr>
          <w:color w:val="000000"/>
          <w:szCs w:val="24"/>
        </w:rPr>
        <w:t>audžiamųjų ir civilini</w:t>
      </w:r>
      <w:r w:rsidRPr="00F621BC">
        <w:rPr>
          <w:color w:val="000000"/>
          <w:szCs w:val="24"/>
        </w:rPr>
        <w:t>ų bylų stabilumo palyginimas</w:t>
      </w:r>
      <w:r w:rsidR="00CA72D5" w:rsidRPr="00F621BC">
        <w:rPr>
          <w:color w:val="000000"/>
          <w:szCs w:val="24"/>
        </w:rPr>
        <w:t xml:space="preserve"> </w:t>
      </w:r>
      <w:r w:rsidRPr="00F621BC">
        <w:rPr>
          <w:color w:val="000000"/>
          <w:szCs w:val="24"/>
        </w:rPr>
        <w:t>(201</w:t>
      </w:r>
      <w:r w:rsidR="001779C6" w:rsidRPr="00F621BC">
        <w:rPr>
          <w:color w:val="000000"/>
          <w:szCs w:val="24"/>
        </w:rPr>
        <w:t>6</w:t>
      </w:r>
      <w:r w:rsidRPr="00F621BC">
        <w:rPr>
          <w:color w:val="000000"/>
          <w:szCs w:val="24"/>
        </w:rPr>
        <w:t xml:space="preserve"> ir 201</w:t>
      </w:r>
      <w:r w:rsidR="001779C6" w:rsidRPr="00F621BC">
        <w:rPr>
          <w:color w:val="000000"/>
          <w:szCs w:val="24"/>
        </w:rPr>
        <w:t>7</w:t>
      </w:r>
      <w:r w:rsidRPr="00F621BC">
        <w:rPr>
          <w:color w:val="000000"/>
          <w:szCs w:val="24"/>
        </w:rPr>
        <w:t xml:space="preserve"> m.)</w:t>
      </w:r>
      <w:r w:rsidR="001779C6" w:rsidRPr="00F621BC">
        <w:rPr>
          <w:color w:val="000000"/>
          <w:szCs w:val="24"/>
        </w:rPr>
        <w:t xml:space="preserve"> (4 pav.).</w:t>
      </w:r>
    </w:p>
    <w:p w:rsidR="001779C6" w:rsidRPr="00F621BC" w:rsidRDefault="001779C6" w:rsidP="001779C6">
      <w:pPr>
        <w:tabs>
          <w:tab w:val="left" w:pos="851"/>
        </w:tabs>
        <w:spacing w:line="360" w:lineRule="auto"/>
        <w:ind w:firstLine="1134"/>
        <w:jc w:val="both"/>
        <w:rPr>
          <w:color w:val="000000"/>
          <w:szCs w:val="24"/>
        </w:rPr>
      </w:pPr>
    </w:p>
    <w:p w:rsidR="001779C6" w:rsidRPr="00F621BC" w:rsidRDefault="00C6018E" w:rsidP="00535224">
      <w:pPr>
        <w:tabs>
          <w:tab w:val="left" w:pos="851"/>
        </w:tabs>
        <w:spacing w:line="360" w:lineRule="auto"/>
        <w:ind w:firstLine="1134"/>
        <w:jc w:val="center"/>
        <w:rPr>
          <w:color w:val="000000"/>
          <w:szCs w:val="24"/>
        </w:rPr>
      </w:pPr>
      <w:r w:rsidRPr="00F621BC">
        <w:rPr>
          <w:noProof/>
          <w:color w:val="000000"/>
          <w:szCs w:val="24"/>
          <w:lang w:eastAsia="lt-LT"/>
        </w:rPr>
        <w:drawing>
          <wp:inline distT="0" distB="0" distL="0" distR="0" wp14:anchorId="5EFC059A" wp14:editId="056FD8B7">
            <wp:extent cx="5486400" cy="3200400"/>
            <wp:effectExtent l="0" t="0" r="19050" b="19050"/>
            <wp:docPr id="14" name="Diagrama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B4DC6" w:rsidRPr="00F621BC" w:rsidRDefault="007B4DC6" w:rsidP="007B4DC6">
      <w:pPr>
        <w:tabs>
          <w:tab w:val="left" w:pos="851"/>
        </w:tabs>
        <w:spacing w:line="360" w:lineRule="auto"/>
        <w:ind w:firstLine="851"/>
        <w:jc w:val="center"/>
        <w:rPr>
          <w:i/>
          <w:color w:val="000000"/>
          <w:sz w:val="20"/>
        </w:rPr>
      </w:pPr>
      <w:r w:rsidRPr="00F621BC">
        <w:rPr>
          <w:i/>
          <w:color w:val="000000"/>
          <w:sz w:val="20"/>
        </w:rPr>
        <w:t>4 pav.</w:t>
      </w:r>
    </w:p>
    <w:p w:rsidR="004527A7" w:rsidRPr="00F621BC" w:rsidRDefault="004527A7" w:rsidP="00C620B1">
      <w:pPr>
        <w:tabs>
          <w:tab w:val="left" w:pos="851"/>
        </w:tabs>
        <w:spacing w:line="360" w:lineRule="auto"/>
        <w:ind w:firstLine="851"/>
        <w:jc w:val="both"/>
        <w:rPr>
          <w:color w:val="000000"/>
          <w:szCs w:val="24"/>
        </w:rPr>
      </w:pPr>
      <w:r w:rsidRPr="00F621BC">
        <w:rPr>
          <w:color w:val="000000"/>
          <w:szCs w:val="24"/>
        </w:rPr>
        <w:t>201</w:t>
      </w:r>
      <w:r w:rsidR="007B4DC6" w:rsidRPr="00F621BC">
        <w:rPr>
          <w:color w:val="000000"/>
          <w:szCs w:val="24"/>
        </w:rPr>
        <w:t>6</w:t>
      </w:r>
      <w:r w:rsidRPr="00F621BC">
        <w:rPr>
          <w:color w:val="000000"/>
          <w:szCs w:val="24"/>
        </w:rPr>
        <w:t xml:space="preserve"> metų ir 201</w:t>
      </w:r>
      <w:r w:rsidR="007B4DC6" w:rsidRPr="00F621BC">
        <w:rPr>
          <w:color w:val="000000"/>
          <w:szCs w:val="24"/>
        </w:rPr>
        <w:t>7</w:t>
      </w:r>
      <w:r w:rsidRPr="00F621BC">
        <w:rPr>
          <w:color w:val="000000"/>
          <w:szCs w:val="24"/>
        </w:rPr>
        <w:t xml:space="preserve"> metų išnagrinėtų bylų palyginimas pateiktas 5 pav. </w:t>
      </w:r>
    </w:p>
    <w:p w:rsidR="00CA46B2" w:rsidRPr="00F621BC" w:rsidRDefault="00CA46B2" w:rsidP="00CA46B2">
      <w:pPr>
        <w:pStyle w:val="Betarp"/>
      </w:pPr>
    </w:p>
    <w:p w:rsidR="007B4DC6" w:rsidRPr="00F621BC" w:rsidRDefault="00CA46B2" w:rsidP="00535224">
      <w:pPr>
        <w:tabs>
          <w:tab w:val="left" w:pos="851"/>
        </w:tabs>
        <w:spacing w:line="360" w:lineRule="auto"/>
        <w:jc w:val="center"/>
        <w:rPr>
          <w:color w:val="000000"/>
          <w:szCs w:val="24"/>
        </w:rPr>
      </w:pPr>
      <w:r w:rsidRPr="00F621BC">
        <w:rPr>
          <w:noProof/>
          <w:color w:val="000000"/>
          <w:szCs w:val="24"/>
          <w:lang w:eastAsia="lt-LT"/>
        </w:rPr>
        <w:drawing>
          <wp:inline distT="0" distB="0" distL="0" distR="0" wp14:anchorId="2ED989F2" wp14:editId="6A8DDBDB">
            <wp:extent cx="6351902" cy="3197955"/>
            <wp:effectExtent l="0" t="0" r="11430" b="21590"/>
            <wp:docPr id="15" name="Diagrama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620B1" w:rsidRPr="00F621BC" w:rsidRDefault="004527A7" w:rsidP="007B2D17">
      <w:pPr>
        <w:tabs>
          <w:tab w:val="left" w:pos="851"/>
        </w:tabs>
        <w:spacing w:line="360" w:lineRule="auto"/>
        <w:jc w:val="center"/>
        <w:rPr>
          <w:i/>
          <w:color w:val="000000"/>
          <w:sz w:val="20"/>
        </w:rPr>
      </w:pPr>
      <w:r w:rsidRPr="00F621BC">
        <w:rPr>
          <w:color w:val="000000"/>
          <w:szCs w:val="24"/>
        </w:rPr>
        <w:t xml:space="preserve"> </w:t>
      </w:r>
      <w:r w:rsidR="00CA72D5" w:rsidRPr="00F621BC">
        <w:rPr>
          <w:i/>
          <w:color w:val="000000"/>
          <w:sz w:val="20"/>
        </w:rPr>
        <w:t>5 pav.</w:t>
      </w:r>
    </w:p>
    <w:p w:rsidR="007B2D17" w:rsidRPr="00F621BC" w:rsidRDefault="00340748" w:rsidP="00C620B1">
      <w:pPr>
        <w:tabs>
          <w:tab w:val="left" w:pos="851"/>
        </w:tabs>
        <w:spacing w:line="360" w:lineRule="auto"/>
        <w:jc w:val="both"/>
        <w:rPr>
          <w:color w:val="000000"/>
          <w:szCs w:val="24"/>
        </w:rPr>
      </w:pPr>
      <w:r w:rsidRPr="00F621BC">
        <w:rPr>
          <w:color w:val="000000"/>
          <w:szCs w:val="24"/>
        </w:rPr>
        <w:tab/>
      </w:r>
      <w:r w:rsidR="0017277B" w:rsidRPr="00F621BC">
        <w:rPr>
          <w:color w:val="000000"/>
          <w:szCs w:val="24"/>
        </w:rPr>
        <w:t xml:space="preserve">Nepateisinamai ilgo bylų nagrinėjimo atvejų </w:t>
      </w:r>
      <w:r w:rsidR="007B2D17" w:rsidRPr="00F621BC">
        <w:rPr>
          <w:color w:val="000000"/>
          <w:szCs w:val="24"/>
        </w:rPr>
        <w:t xml:space="preserve">2017 metais </w:t>
      </w:r>
      <w:r w:rsidR="0017277B" w:rsidRPr="00F621BC">
        <w:rPr>
          <w:color w:val="000000"/>
          <w:szCs w:val="24"/>
        </w:rPr>
        <w:t xml:space="preserve">neužfiksuota. </w:t>
      </w:r>
      <w:r w:rsidR="007B2D17" w:rsidRPr="00F621BC">
        <w:rPr>
          <w:color w:val="000000"/>
          <w:szCs w:val="24"/>
        </w:rPr>
        <w:t>Dėl objektyvių priežasčių i</w:t>
      </w:r>
      <w:r w:rsidR="0017277B" w:rsidRPr="00F621BC">
        <w:rPr>
          <w:color w:val="000000"/>
          <w:szCs w:val="24"/>
        </w:rPr>
        <w:t>lgiau nei vienerius metus nagrinėta</w:t>
      </w:r>
      <w:r w:rsidR="007B2D17" w:rsidRPr="00F621BC">
        <w:rPr>
          <w:color w:val="000000"/>
          <w:szCs w:val="24"/>
        </w:rPr>
        <w:t xml:space="preserve"> 1 baudžiamoji ir 9 civilinės bylos.</w:t>
      </w:r>
    </w:p>
    <w:p w:rsidR="001C06AD" w:rsidRPr="00F621BC" w:rsidRDefault="00340748" w:rsidP="00C620B1">
      <w:pPr>
        <w:tabs>
          <w:tab w:val="left" w:pos="851"/>
        </w:tabs>
        <w:spacing w:line="360" w:lineRule="auto"/>
        <w:jc w:val="both"/>
        <w:rPr>
          <w:color w:val="000000"/>
          <w:szCs w:val="24"/>
        </w:rPr>
      </w:pPr>
      <w:r w:rsidRPr="00F621BC">
        <w:rPr>
          <w:color w:val="000000"/>
          <w:szCs w:val="24"/>
        </w:rPr>
        <w:tab/>
      </w:r>
      <w:r w:rsidR="007B2D17" w:rsidRPr="00F621BC">
        <w:rPr>
          <w:color w:val="000000"/>
          <w:szCs w:val="24"/>
        </w:rPr>
        <w:t xml:space="preserve">Prašymų </w:t>
      </w:r>
      <w:r w:rsidR="009D4728" w:rsidRPr="00F621BC">
        <w:rPr>
          <w:color w:val="000000"/>
          <w:szCs w:val="24"/>
        </w:rPr>
        <w:t>dėl fizinių</w:t>
      </w:r>
      <w:r w:rsidR="001C06AD" w:rsidRPr="00F621BC">
        <w:rPr>
          <w:color w:val="000000"/>
          <w:szCs w:val="24"/>
        </w:rPr>
        <w:t xml:space="preserve"> </w:t>
      </w:r>
      <w:r w:rsidR="009D4728" w:rsidRPr="00F621BC">
        <w:rPr>
          <w:color w:val="000000"/>
          <w:szCs w:val="24"/>
        </w:rPr>
        <w:t>asmenų bankroto bylų</w:t>
      </w:r>
      <w:r w:rsidR="004E4DC9" w:rsidRPr="00F621BC">
        <w:rPr>
          <w:color w:val="000000"/>
          <w:szCs w:val="24"/>
        </w:rPr>
        <w:t xml:space="preserve"> iškėlimo</w:t>
      </w:r>
      <w:r w:rsidR="007B2D17" w:rsidRPr="00F621BC">
        <w:rPr>
          <w:color w:val="000000"/>
          <w:szCs w:val="24"/>
        </w:rPr>
        <w:t xml:space="preserve"> 2017 metais teismas nebuvo gavęs.</w:t>
      </w:r>
    </w:p>
    <w:p w:rsidR="00340748" w:rsidRPr="00F621BC" w:rsidRDefault="00B57E31" w:rsidP="008D7957">
      <w:pPr>
        <w:tabs>
          <w:tab w:val="left" w:pos="851"/>
        </w:tabs>
        <w:spacing w:line="360" w:lineRule="auto"/>
        <w:jc w:val="both"/>
        <w:rPr>
          <w:color w:val="000000"/>
          <w:szCs w:val="24"/>
        </w:rPr>
      </w:pPr>
      <w:r w:rsidRPr="00F621BC">
        <w:rPr>
          <w:color w:val="000000"/>
          <w:szCs w:val="24"/>
        </w:rPr>
        <w:lastRenderedPageBreak/>
        <w:tab/>
      </w:r>
      <w:r w:rsidR="0059741D" w:rsidRPr="00F621BC">
        <w:rPr>
          <w:color w:val="000000"/>
          <w:szCs w:val="24"/>
        </w:rPr>
        <w:t xml:space="preserve">Išnagrinėtų </w:t>
      </w:r>
      <w:r w:rsidR="001C06AD" w:rsidRPr="00F621BC">
        <w:rPr>
          <w:color w:val="000000"/>
          <w:szCs w:val="24"/>
        </w:rPr>
        <w:t>baudžiamų</w:t>
      </w:r>
      <w:r w:rsidR="0017277B" w:rsidRPr="00F621BC">
        <w:rPr>
          <w:color w:val="000000"/>
          <w:szCs w:val="24"/>
        </w:rPr>
        <w:t>jų</w:t>
      </w:r>
      <w:r w:rsidR="001C06AD" w:rsidRPr="00F621BC">
        <w:rPr>
          <w:color w:val="000000"/>
          <w:szCs w:val="24"/>
        </w:rPr>
        <w:t>, civilinių ir administracinių</w:t>
      </w:r>
      <w:r w:rsidR="009D4728" w:rsidRPr="00F621BC">
        <w:rPr>
          <w:color w:val="000000"/>
          <w:szCs w:val="24"/>
        </w:rPr>
        <w:t xml:space="preserve"> teisės pažeidimų</w:t>
      </w:r>
      <w:r w:rsidR="001C06AD" w:rsidRPr="00F621BC">
        <w:rPr>
          <w:color w:val="000000"/>
          <w:szCs w:val="24"/>
        </w:rPr>
        <w:t xml:space="preserve"> bylų pokytis</w:t>
      </w:r>
      <w:r w:rsidR="00087E3F" w:rsidRPr="00F621BC">
        <w:rPr>
          <w:color w:val="000000"/>
          <w:szCs w:val="24"/>
        </w:rPr>
        <w:t xml:space="preserve"> 201</w:t>
      </w:r>
      <w:r w:rsidR="00C663D6" w:rsidRPr="00F621BC">
        <w:rPr>
          <w:color w:val="000000"/>
          <w:szCs w:val="24"/>
        </w:rPr>
        <w:t>3</w:t>
      </w:r>
      <w:r w:rsidR="00F1121D" w:rsidRPr="00F621BC">
        <w:rPr>
          <w:color w:val="000000"/>
          <w:szCs w:val="24"/>
        </w:rPr>
        <w:t>–</w:t>
      </w:r>
      <w:r w:rsidR="004E4DC9" w:rsidRPr="00F621BC">
        <w:rPr>
          <w:color w:val="000000"/>
          <w:szCs w:val="24"/>
        </w:rPr>
        <w:t>201</w:t>
      </w:r>
      <w:r w:rsidR="00C663D6" w:rsidRPr="00F621BC">
        <w:rPr>
          <w:color w:val="000000"/>
          <w:szCs w:val="24"/>
        </w:rPr>
        <w:t>7</w:t>
      </w:r>
      <w:r w:rsidR="00ED46AE" w:rsidRPr="00F621BC">
        <w:rPr>
          <w:color w:val="000000"/>
          <w:szCs w:val="24"/>
        </w:rPr>
        <w:t xml:space="preserve"> metais pateiktas 6, 7 ir 8 pav.</w:t>
      </w:r>
    </w:p>
    <w:p w:rsidR="00535224" w:rsidRPr="00F621BC" w:rsidRDefault="00535224" w:rsidP="00535224">
      <w:pPr>
        <w:pStyle w:val="Betarp"/>
      </w:pPr>
    </w:p>
    <w:p w:rsidR="006B16D3" w:rsidRPr="00F621BC" w:rsidRDefault="00C663D6" w:rsidP="00535224">
      <w:pPr>
        <w:tabs>
          <w:tab w:val="left" w:pos="851"/>
        </w:tabs>
        <w:spacing w:line="360" w:lineRule="auto"/>
        <w:jc w:val="center"/>
        <w:rPr>
          <w:color w:val="000000"/>
          <w:szCs w:val="24"/>
        </w:rPr>
      </w:pPr>
      <w:r w:rsidRPr="00F621BC">
        <w:rPr>
          <w:noProof/>
          <w:color w:val="000000"/>
          <w:szCs w:val="24"/>
          <w:lang w:eastAsia="lt-LT"/>
        </w:rPr>
        <w:drawing>
          <wp:inline distT="0" distB="0" distL="0" distR="0" wp14:anchorId="5F3863AE" wp14:editId="11550579">
            <wp:extent cx="5486400" cy="3200400"/>
            <wp:effectExtent l="0" t="0" r="0" b="0"/>
            <wp:docPr id="16" name="Diagrama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D46AE" w:rsidRPr="00F621BC" w:rsidRDefault="00ED46AE" w:rsidP="00535224">
      <w:pPr>
        <w:tabs>
          <w:tab w:val="left" w:pos="851"/>
        </w:tabs>
        <w:spacing w:after="240" w:line="360" w:lineRule="auto"/>
        <w:jc w:val="center"/>
        <w:rPr>
          <w:i/>
          <w:color w:val="000000"/>
          <w:sz w:val="20"/>
        </w:rPr>
      </w:pPr>
      <w:r w:rsidRPr="00F621BC">
        <w:rPr>
          <w:i/>
          <w:color w:val="000000"/>
          <w:sz w:val="20"/>
        </w:rPr>
        <w:t>6 pav.</w:t>
      </w:r>
    </w:p>
    <w:p w:rsidR="006B16D3" w:rsidRPr="00F621BC" w:rsidRDefault="00535224" w:rsidP="00C620B1">
      <w:pPr>
        <w:tabs>
          <w:tab w:val="left" w:pos="851"/>
        </w:tabs>
        <w:spacing w:after="240" w:line="360" w:lineRule="auto"/>
        <w:jc w:val="center"/>
        <w:rPr>
          <w:i/>
          <w:color w:val="000000"/>
          <w:sz w:val="20"/>
        </w:rPr>
      </w:pPr>
      <w:r w:rsidRPr="00F621BC">
        <w:rPr>
          <w:i/>
          <w:noProof/>
          <w:color w:val="000000"/>
          <w:sz w:val="20"/>
          <w:lang w:eastAsia="lt-LT"/>
        </w:rPr>
        <w:drawing>
          <wp:inline distT="0" distB="0" distL="0" distR="0" wp14:anchorId="05BF9EB8" wp14:editId="2338AF52">
            <wp:extent cx="5486400" cy="3200400"/>
            <wp:effectExtent l="0" t="0" r="0" b="0"/>
            <wp:docPr id="17" name="Diagrama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87E3F" w:rsidRPr="00F621BC" w:rsidRDefault="00ED46AE" w:rsidP="00C620B1">
      <w:pPr>
        <w:spacing w:line="360" w:lineRule="auto"/>
        <w:jc w:val="center"/>
        <w:rPr>
          <w:i/>
          <w:noProof/>
          <w:color w:val="000000"/>
          <w:sz w:val="20"/>
          <w:lang w:eastAsia="lt-LT"/>
        </w:rPr>
      </w:pPr>
      <w:r w:rsidRPr="00F621BC">
        <w:rPr>
          <w:i/>
          <w:noProof/>
          <w:color w:val="000000"/>
          <w:sz w:val="20"/>
          <w:lang w:eastAsia="lt-LT"/>
        </w:rPr>
        <w:t>7 pav.</w:t>
      </w:r>
    </w:p>
    <w:p w:rsidR="008D7957" w:rsidRPr="00F621BC" w:rsidRDefault="008D7957" w:rsidP="00C620B1">
      <w:pPr>
        <w:spacing w:line="360" w:lineRule="auto"/>
        <w:jc w:val="center"/>
        <w:rPr>
          <w:i/>
          <w:noProof/>
          <w:color w:val="000000"/>
          <w:sz w:val="20"/>
          <w:lang w:eastAsia="lt-LT"/>
        </w:rPr>
      </w:pPr>
    </w:p>
    <w:p w:rsidR="00BA7DA6" w:rsidRPr="00F621BC" w:rsidRDefault="00BA7DA6" w:rsidP="00C620B1">
      <w:pPr>
        <w:spacing w:line="360" w:lineRule="auto"/>
        <w:jc w:val="center"/>
        <w:rPr>
          <w:i/>
          <w:noProof/>
          <w:color w:val="000000"/>
          <w:sz w:val="20"/>
          <w:lang w:eastAsia="lt-LT"/>
        </w:rPr>
      </w:pPr>
    </w:p>
    <w:p w:rsidR="00BA7DA6" w:rsidRPr="00F621BC" w:rsidRDefault="00BA7DA6" w:rsidP="00C620B1">
      <w:pPr>
        <w:spacing w:line="360" w:lineRule="auto"/>
        <w:jc w:val="center"/>
        <w:rPr>
          <w:i/>
          <w:noProof/>
          <w:color w:val="000000"/>
          <w:sz w:val="20"/>
          <w:lang w:eastAsia="lt-LT"/>
        </w:rPr>
      </w:pPr>
    </w:p>
    <w:p w:rsidR="00BA7DA6" w:rsidRPr="00F621BC" w:rsidRDefault="00BA7DA6" w:rsidP="00C620B1">
      <w:pPr>
        <w:spacing w:line="360" w:lineRule="auto"/>
        <w:jc w:val="center"/>
        <w:rPr>
          <w:i/>
          <w:noProof/>
          <w:color w:val="000000"/>
          <w:sz w:val="20"/>
          <w:lang w:eastAsia="lt-LT"/>
        </w:rPr>
      </w:pPr>
      <w:r w:rsidRPr="00F621BC">
        <w:rPr>
          <w:i/>
          <w:noProof/>
          <w:color w:val="000000"/>
          <w:sz w:val="20"/>
          <w:lang w:eastAsia="lt-LT"/>
        </w:rPr>
        <w:lastRenderedPageBreak/>
        <w:drawing>
          <wp:inline distT="0" distB="0" distL="0" distR="0" wp14:anchorId="50AA924A" wp14:editId="3ABAEEE2">
            <wp:extent cx="5486400" cy="3200400"/>
            <wp:effectExtent l="0" t="0" r="19050" b="19050"/>
            <wp:docPr id="18" name="Diagrama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D7957" w:rsidRPr="00F621BC" w:rsidRDefault="008D7957" w:rsidP="008D7957">
      <w:pPr>
        <w:spacing w:line="360" w:lineRule="auto"/>
        <w:ind w:firstLine="851"/>
        <w:rPr>
          <w:i/>
          <w:noProof/>
          <w:color w:val="000000"/>
          <w:sz w:val="20"/>
          <w:lang w:eastAsia="lt-LT"/>
        </w:rPr>
      </w:pPr>
    </w:p>
    <w:p w:rsidR="00ED46AE" w:rsidRPr="00F621BC" w:rsidRDefault="00ED46AE" w:rsidP="00C620B1">
      <w:pPr>
        <w:spacing w:line="360" w:lineRule="auto"/>
        <w:jc w:val="center"/>
        <w:rPr>
          <w:i/>
          <w:noProof/>
          <w:color w:val="000000"/>
          <w:sz w:val="20"/>
          <w:lang w:eastAsia="lt-LT"/>
        </w:rPr>
      </w:pPr>
      <w:r w:rsidRPr="00F621BC">
        <w:rPr>
          <w:i/>
          <w:noProof/>
          <w:color w:val="000000"/>
          <w:sz w:val="20"/>
          <w:lang w:eastAsia="lt-LT"/>
        </w:rPr>
        <w:t>8 pav.</w:t>
      </w:r>
    </w:p>
    <w:p w:rsidR="00014DFA" w:rsidRPr="00F621BC" w:rsidRDefault="00CD02A4" w:rsidP="00014DFA">
      <w:pPr>
        <w:tabs>
          <w:tab w:val="left" w:pos="851"/>
        </w:tabs>
        <w:spacing w:line="360" w:lineRule="auto"/>
        <w:ind w:firstLine="851"/>
        <w:jc w:val="both"/>
        <w:rPr>
          <w:szCs w:val="24"/>
        </w:rPr>
      </w:pPr>
      <w:r w:rsidRPr="00F621BC">
        <w:rPr>
          <w:szCs w:val="24"/>
        </w:rPr>
        <w:t>2017 m. sausio</w:t>
      </w:r>
      <w:r w:rsidR="0018403A" w:rsidRPr="00F621BC">
        <w:rPr>
          <w:szCs w:val="24"/>
        </w:rPr>
        <w:t>–</w:t>
      </w:r>
      <w:r w:rsidRPr="00F621BC">
        <w:rPr>
          <w:szCs w:val="24"/>
        </w:rPr>
        <w:t>birželio mėnesiais, rengiantis teismų reorganizavimui, buvo sutvarkytas teismo archyvas. Teismo archyve buvusios ir į atrinktų naikinti bylų sąrašą įrašytos bylos (ta</w:t>
      </w:r>
      <w:r w:rsidR="00B948B4">
        <w:rPr>
          <w:szCs w:val="24"/>
        </w:rPr>
        <w:t xml:space="preserve">ip pat </w:t>
      </w:r>
      <w:r w:rsidRPr="00F621BC">
        <w:rPr>
          <w:szCs w:val="24"/>
        </w:rPr>
        <w:t xml:space="preserve">ir </w:t>
      </w:r>
      <w:r w:rsidR="00014DFA" w:rsidRPr="00F621BC">
        <w:rPr>
          <w:szCs w:val="24"/>
        </w:rPr>
        <w:t xml:space="preserve">Teismo antstolių kontoros prie Kupiškio rajono apylinkės teismo </w:t>
      </w:r>
      <w:r w:rsidRPr="00F621BC">
        <w:rPr>
          <w:szCs w:val="24"/>
        </w:rPr>
        <w:t>bylos</w:t>
      </w:r>
      <w:r w:rsidR="00014DFA" w:rsidRPr="00F621BC">
        <w:rPr>
          <w:szCs w:val="24"/>
        </w:rPr>
        <w:t xml:space="preserve">), </w:t>
      </w:r>
      <w:r w:rsidRPr="00F621BC">
        <w:rPr>
          <w:szCs w:val="24"/>
        </w:rPr>
        <w:t>kurių saugojimo terminas buvo pasibaigęs, perduotos naikinti</w:t>
      </w:r>
      <w:r w:rsidR="00014DFA" w:rsidRPr="00F621BC">
        <w:rPr>
          <w:szCs w:val="24"/>
        </w:rPr>
        <w:t>. Iš viso sunaikintos 15 667 bylos.</w:t>
      </w:r>
    </w:p>
    <w:p w:rsidR="00CD02A4" w:rsidRPr="00F621BC" w:rsidRDefault="00CD02A4" w:rsidP="00014DFA">
      <w:pPr>
        <w:tabs>
          <w:tab w:val="left" w:pos="851"/>
        </w:tabs>
        <w:spacing w:line="360" w:lineRule="auto"/>
        <w:ind w:firstLine="851"/>
        <w:jc w:val="both"/>
        <w:rPr>
          <w:szCs w:val="24"/>
        </w:rPr>
      </w:pPr>
      <w:r w:rsidRPr="00F621BC">
        <w:rPr>
          <w:szCs w:val="24"/>
        </w:rPr>
        <w:t xml:space="preserve">Birželio </w:t>
      </w:r>
      <w:r w:rsidR="00014DFA" w:rsidRPr="00F621BC">
        <w:rPr>
          <w:szCs w:val="24"/>
        </w:rPr>
        <w:t xml:space="preserve">mėnesį </w:t>
      </w:r>
      <w:r w:rsidRPr="00F621BC">
        <w:rPr>
          <w:szCs w:val="24"/>
        </w:rPr>
        <w:t>Šiaulių regioninio valstybės archyvo Panevėžio filialui taip pat buvo perduoti nuolatinio saugojimo Teismo veiklos dokumentai iki 2014 m., administracinių teisės pažeidimų bylos iki 2009 m., kitos bylos iki 2006 m..</w:t>
      </w:r>
    </w:p>
    <w:p w:rsidR="00D5223A" w:rsidRPr="00F621BC" w:rsidRDefault="00824A2F" w:rsidP="00D5223A">
      <w:pPr>
        <w:tabs>
          <w:tab w:val="left" w:pos="851"/>
        </w:tabs>
        <w:spacing w:line="360" w:lineRule="auto"/>
        <w:ind w:firstLine="851"/>
        <w:jc w:val="both"/>
        <w:rPr>
          <w:szCs w:val="24"/>
        </w:rPr>
      </w:pPr>
      <w:r w:rsidRPr="00F621BC">
        <w:rPr>
          <w:szCs w:val="24"/>
        </w:rPr>
        <w:t>Rengiantis teismų reorganizavimui, 2017 m. lapkričio-gruodžio mėnesiais v</w:t>
      </w:r>
      <w:r w:rsidR="00014DFA" w:rsidRPr="00F621BC">
        <w:rPr>
          <w:szCs w:val="24"/>
        </w:rPr>
        <w:t xml:space="preserve">isos teismo archyve buvusios nesunaikintos bei valstybės archyvui neperduotos bylos iki 2015 m. </w:t>
      </w:r>
      <w:r w:rsidRPr="00F621BC">
        <w:rPr>
          <w:szCs w:val="24"/>
        </w:rPr>
        <w:t xml:space="preserve">buvo perduotos Rokiškio rajono apylinkės teismo archyvarui. </w:t>
      </w:r>
      <w:r w:rsidR="00D5223A" w:rsidRPr="00F621BC">
        <w:rPr>
          <w:szCs w:val="24"/>
        </w:rPr>
        <w:t>Iš viso perduoti 18</w:t>
      </w:r>
      <w:r w:rsidR="0018403A" w:rsidRPr="00F621BC">
        <w:rPr>
          <w:szCs w:val="24"/>
        </w:rPr>
        <w:t xml:space="preserve"> </w:t>
      </w:r>
      <w:r w:rsidR="00D5223A" w:rsidRPr="00F621BC">
        <w:rPr>
          <w:szCs w:val="24"/>
        </w:rPr>
        <w:t xml:space="preserve">846 apskaitos vienetai. </w:t>
      </w:r>
    </w:p>
    <w:p w:rsidR="00014DFA" w:rsidRPr="00F621BC" w:rsidRDefault="0018403A" w:rsidP="00D5223A">
      <w:pPr>
        <w:tabs>
          <w:tab w:val="left" w:pos="851"/>
        </w:tabs>
        <w:spacing w:line="360" w:lineRule="auto"/>
        <w:ind w:firstLine="851"/>
        <w:jc w:val="both"/>
        <w:rPr>
          <w:szCs w:val="24"/>
        </w:rPr>
      </w:pPr>
      <w:r w:rsidRPr="00F621BC">
        <w:rPr>
          <w:szCs w:val="24"/>
        </w:rPr>
        <w:t>Įgyvendinus teismų reformą</w:t>
      </w:r>
      <w:r w:rsidR="00D5223A" w:rsidRPr="00F621BC">
        <w:rPr>
          <w:szCs w:val="24"/>
        </w:rPr>
        <w:t xml:space="preserve">, </w:t>
      </w:r>
      <w:r w:rsidR="00D5223A" w:rsidRPr="00F621BC">
        <w:rPr>
          <w:color w:val="000000"/>
          <w:szCs w:val="24"/>
        </w:rPr>
        <w:t xml:space="preserve">Kupiškio rajono apylinkės teismo </w:t>
      </w:r>
      <w:r w:rsidR="00D5223A" w:rsidRPr="00F621BC">
        <w:rPr>
          <w:szCs w:val="24"/>
        </w:rPr>
        <w:t xml:space="preserve">archyvo padalinys </w:t>
      </w:r>
      <w:r w:rsidR="00EA3DC5" w:rsidRPr="00F621BC">
        <w:rPr>
          <w:szCs w:val="24"/>
        </w:rPr>
        <w:t>bei</w:t>
      </w:r>
      <w:r w:rsidR="00D5223A" w:rsidRPr="00F621BC">
        <w:rPr>
          <w:szCs w:val="24"/>
        </w:rPr>
        <w:t xml:space="preserve"> archyvaro pareigybė </w:t>
      </w:r>
      <w:r w:rsidR="00EA3DC5" w:rsidRPr="00F621BC">
        <w:rPr>
          <w:szCs w:val="24"/>
        </w:rPr>
        <w:t>buvo panaikinti.</w:t>
      </w:r>
      <w:r w:rsidR="00D5223A" w:rsidRPr="00F621BC">
        <w:rPr>
          <w:szCs w:val="24"/>
        </w:rPr>
        <w:t xml:space="preserve"> </w:t>
      </w:r>
    </w:p>
    <w:p w:rsidR="000C1524" w:rsidRPr="00F621BC" w:rsidRDefault="00D5223A" w:rsidP="000C1524">
      <w:pPr>
        <w:pStyle w:val="Pavadinimas"/>
        <w:ind w:left="720"/>
        <w:rPr>
          <w:rFonts w:ascii="Times New Roman" w:hAnsi="Times New Roman"/>
        </w:rPr>
      </w:pPr>
      <w:bookmarkStart w:id="4" w:name="_Toc475369613"/>
      <w:bookmarkStart w:id="5" w:name="_Toc475608982"/>
      <w:r w:rsidRPr="00F621BC">
        <w:rPr>
          <w:rFonts w:ascii="Times New Roman" w:hAnsi="Times New Roman"/>
        </w:rPr>
        <w:t xml:space="preserve">II. </w:t>
      </w:r>
      <w:r w:rsidR="00972B61" w:rsidRPr="00F621BC">
        <w:rPr>
          <w:rFonts w:ascii="Times New Roman" w:hAnsi="Times New Roman"/>
        </w:rPr>
        <w:t>Teismo struktūra ir veiklos organizavimas</w:t>
      </w:r>
      <w:bookmarkEnd w:id="4"/>
      <w:bookmarkEnd w:id="5"/>
      <w:r w:rsidR="000C1524" w:rsidRPr="00F621BC">
        <w:rPr>
          <w:rFonts w:ascii="Times New Roman" w:hAnsi="Times New Roman"/>
        </w:rPr>
        <w:t>, personalo valdymas</w:t>
      </w:r>
    </w:p>
    <w:p w:rsidR="00972B61" w:rsidRPr="00F621BC" w:rsidRDefault="00972B61" w:rsidP="000C1524">
      <w:pPr>
        <w:pStyle w:val="Betarp"/>
      </w:pPr>
    </w:p>
    <w:p w:rsidR="006A7500" w:rsidRPr="00F621BC" w:rsidRDefault="0018403A" w:rsidP="002D2436">
      <w:pPr>
        <w:tabs>
          <w:tab w:val="left" w:pos="851"/>
        </w:tabs>
        <w:spacing w:line="360" w:lineRule="auto"/>
        <w:ind w:firstLine="851"/>
        <w:jc w:val="both"/>
        <w:rPr>
          <w:szCs w:val="24"/>
        </w:rPr>
      </w:pPr>
      <w:r w:rsidRPr="00F621BC">
        <w:rPr>
          <w:szCs w:val="24"/>
        </w:rPr>
        <w:t xml:space="preserve">Kupiškio rajono apylinkės teismui 2017 metais vadovavo teismo pirmininkas. Teismo pirmininko </w:t>
      </w:r>
      <w:r w:rsidR="002D2436" w:rsidRPr="00F621BC">
        <w:rPr>
          <w:szCs w:val="24"/>
        </w:rPr>
        <w:t xml:space="preserve">pavaduotojo pareigybė teisme nebuvo numatyta. </w:t>
      </w:r>
      <w:r w:rsidR="00CB2565" w:rsidRPr="00F621BC">
        <w:rPr>
          <w:szCs w:val="24"/>
        </w:rPr>
        <w:t>Teisingumą vykd</w:t>
      </w:r>
      <w:r w:rsidR="002D2436" w:rsidRPr="00F621BC">
        <w:rPr>
          <w:szCs w:val="24"/>
        </w:rPr>
        <w:t xml:space="preserve">ė </w:t>
      </w:r>
      <w:r w:rsidR="00CB2565" w:rsidRPr="00F621BC">
        <w:rPr>
          <w:szCs w:val="24"/>
        </w:rPr>
        <w:t>3 teisėjai, tinkamą teismo funkcionavimą užtikrin</w:t>
      </w:r>
      <w:r w:rsidR="002D2436" w:rsidRPr="00F621BC">
        <w:rPr>
          <w:szCs w:val="24"/>
        </w:rPr>
        <w:t xml:space="preserve">o </w:t>
      </w:r>
      <w:r w:rsidR="006A7500" w:rsidRPr="00F621BC">
        <w:rPr>
          <w:szCs w:val="24"/>
        </w:rPr>
        <w:t>teismo personalas</w:t>
      </w:r>
      <w:r w:rsidR="002D2436" w:rsidRPr="00F621BC">
        <w:rPr>
          <w:szCs w:val="24"/>
        </w:rPr>
        <w:t>, kurį sudarė 14 asmenų.</w:t>
      </w:r>
    </w:p>
    <w:p w:rsidR="002D2436" w:rsidRPr="00F621BC" w:rsidRDefault="006A7500" w:rsidP="002D2436">
      <w:pPr>
        <w:tabs>
          <w:tab w:val="left" w:pos="851"/>
        </w:tabs>
        <w:spacing w:line="360" w:lineRule="auto"/>
        <w:ind w:firstLine="851"/>
        <w:jc w:val="both"/>
        <w:rPr>
          <w:szCs w:val="24"/>
        </w:rPr>
      </w:pPr>
      <w:r w:rsidRPr="00F621BC">
        <w:rPr>
          <w:szCs w:val="24"/>
        </w:rPr>
        <w:t>Vadovaujantis Lietuvos Respublikos teismų įstatymo 103 straipsniu ir Teisėjų tarybos 2015 m. gruodžio 18 d. nutarimu Nr. 13P-157-(7.1.2) patvirtintais Administravimo teismuose nuostatais, administravimą teisme organizuoja ir prižiūri teismo pirmininkas.</w:t>
      </w:r>
      <w:r w:rsidR="005535C5" w:rsidRPr="00F621BC">
        <w:rPr>
          <w:szCs w:val="24"/>
        </w:rPr>
        <w:t xml:space="preserve"> Jis</w:t>
      </w:r>
      <w:r w:rsidRPr="00F621BC">
        <w:rPr>
          <w:szCs w:val="24"/>
        </w:rPr>
        <w:t xml:space="preserve"> kontroliuoja, kaip laikomasi Teisėjų etikos kodekso reikalavimų, tiria asmenų skundus dėl teismo pirmininko pavaduotoj</w:t>
      </w:r>
      <w:r w:rsidR="00733E92" w:rsidRPr="00F621BC">
        <w:rPr>
          <w:szCs w:val="24"/>
        </w:rPr>
        <w:t>ų</w:t>
      </w:r>
      <w:r w:rsidRPr="00F621BC">
        <w:rPr>
          <w:szCs w:val="24"/>
        </w:rPr>
        <w:t xml:space="preserve"> ir kitų </w:t>
      </w:r>
      <w:r w:rsidRPr="00F621BC">
        <w:rPr>
          <w:szCs w:val="24"/>
        </w:rPr>
        <w:lastRenderedPageBreak/>
        <w:t>teisėjų veiksmų, nesusijusių su teisingumo vykdymu, suinteresuotiems asmenims praneša tyrimo rezultatus. Teismo vadovas šalina nustatytus teismo darbo trūkumus bei atlieka kitas jam priskirtas teismo administravimo funkcijas. Administracinės veiklos priežiūra apima ir priemones, užtikrinančias bylų nagrinėjimo proceso skaidrumą ir operatyvumą.</w:t>
      </w:r>
    </w:p>
    <w:p w:rsidR="000C2674" w:rsidRPr="00F621BC" w:rsidRDefault="002D2436" w:rsidP="000C2674">
      <w:pPr>
        <w:tabs>
          <w:tab w:val="left" w:pos="851"/>
        </w:tabs>
        <w:spacing w:line="360" w:lineRule="auto"/>
        <w:ind w:firstLine="851"/>
        <w:jc w:val="both"/>
        <w:rPr>
          <w:szCs w:val="24"/>
        </w:rPr>
      </w:pPr>
      <w:r w:rsidRPr="00F621BC">
        <w:rPr>
          <w:szCs w:val="24"/>
        </w:rPr>
        <w:t xml:space="preserve">Nuo </w:t>
      </w:r>
      <w:r w:rsidR="000C2674" w:rsidRPr="00F621BC">
        <w:t>2012 m. liepos 12 d. iki 2017 m. gruodžio 31 d. teismo pirmininko pareigas</w:t>
      </w:r>
      <w:r w:rsidR="000C2674" w:rsidRPr="00F621BC">
        <w:rPr>
          <w:szCs w:val="24"/>
        </w:rPr>
        <w:t xml:space="preserve"> laikinai ėjo teismo teisėjas </w:t>
      </w:r>
      <w:r w:rsidR="000C2674" w:rsidRPr="00F621BC">
        <w:t>Saulius Vanagas,</w:t>
      </w:r>
      <w:r w:rsidR="000C2674" w:rsidRPr="00F621BC">
        <w:rPr>
          <w:szCs w:val="24"/>
        </w:rPr>
        <w:t xml:space="preserve"> turintis didžiausią darbo stažą Kupiškio rajono apylinkės teisme.</w:t>
      </w:r>
    </w:p>
    <w:p w:rsidR="00D24E48" w:rsidRPr="00F621BC" w:rsidRDefault="00A275BC" w:rsidP="00D24E48">
      <w:pPr>
        <w:tabs>
          <w:tab w:val="left" w:pos="851"/>
        </w:tabs>
        <w:spacing w:line="360" w:lineRule="auto"/>
        <w:ind w:firstLine="851"/>
        <w:jc w:val="both"/>
        <w:rPr>
          <w:szCs w:val="24"/>
        </w:rPr>
      </w:pPr>
      <w:r w:rsidRPr="00F621BC">
        <w:rPr>
          <w:szCs w:val="24"/>
        </w:rPr>
        <w:t xml:space="preserve">Vadovaujantis Teisėjų tarybos 2015 m. gruodžio 18 d. nutarimu Nr. 13P-153-(7.1.2) patvirtintomis </w:t>
      </w:r>
      <w:r w:rsidR="00D24E48" w:rsidRPr="00F621BC">
        <w:rPr>
          <w:szCs w:val="24"/>
        </w:rPr>
        <w:t xml:space="preserve">Pavyzdinėmis </w:t>
      </w:r>
      <w:r w:rsidRPr="00F621BC">
        <w:rPr>
          <w:szCs w:val="24"/>
        </w:rPr>
        <w:t>apygardų, apygardų administracinių ir apylinkių teismų struktūromis,</w:t>
      </w:r>
      <w:r w:rsidR="00D24E48" w:rsidRPr="00F621BC">
        <w:rPr>
          <w:szCs w:val="24"/>
        </w:rPr>
        <w:t xml:space="preserve"> Kupiškio rajono apylinkės teismui buvo numatyta 18, tačiau finansuota tik 17 pareigybių: 3 teisėjų, </w:t>
      </w:r>
      <w:r w:rsidR="009550D1" w:rsidRPr="00F621BC">
        <w:rPr>
          <w:szCs w:val="24"/>
        </w:rPr>
        <w:t>8</w:t>
      </w:r>
      <w:r w:rsidR="00D24E48" w:rsidRPr="00F621BC">
        <w:rPr>
          <w:szCs w:val="24"/>
        </w:rPr>
        <w:t xml:space="preserve"> valstybės tarnautojų ir 6 darbuotojų, dirbančių pagal darbo sutartis. </w:t>
      </w:r>
      <w:r w:rsidR="006A7500" w:rsidRPr="00F621BC">
        <w:rPr>
          <w:szCs w:val="24"/>
        </w:rPr>
        <w:t xml:space="preserve">Darbo užmokesčiui faktiškai skiriamas nepakankamas biudžetinis finansavimas </w:t>
      </w:r>
      <w:r w:rsidR="00D24E48" w:rsidRPr="00F621BC">
        <w:rPr>
          <w:szCs w:val="24"/>
        </w:rPr>
        <w:t>ne vienerius metus</w:t>
      </w:r>
      <w:r w:rsidR="006A7500" w:rsidRPr="00F621BC">
        <w:rPr>
          <w:szCs w:val="24"/>
        </w:rPr>
        <w:t xml:space="preserve"> neleid</w:t>
      </w:r>
      <w:r w:rsidR="00D24E48" w:rsidRPr="00F621BC">
        <w:rPr>
          <w:szCs w:val="24"/>
        </w:rPr>
        <w:t>o</w:t>
      </w:r>
      <w:r w:rsidR="009550D1" w:rsidRPr="00F621BC">
        <w:rPr>
          <w:szCs w:val="24"/>
        </w:rPr>
        <w:t xml:space="preserve"> </w:t>
      </w:r>
      <w:r w:rsidR="006A7500" w:rsidRPr="00F621BC">
        <w:rPr>
          <w:szCs w:val="24"/>
        </w:rPr>
        <w:t xml:space="preserve">užpildyti visų teismo struktūroje numatytų </w:t>
      </w:r>
      <w:r w:rsidR="00D24E48" w:rsidRPr="00F621BC">
        <w:rPr>
          <w:szCs w:val="24"/>
        </w:rPr>
        <w:t>teisėjų padėjėjų</w:t>
      </w:r>
      <w:r w:rsidR="006A7500" w:rsidRPr="00F621BC">
        <w:rPr>
          <w:szCs w:val="24"/>
        </w:rPr>
        <w:t xml:space="preserve"> pareigybių</w:t>
      </w:r>
      <w:r w:rsidR="00D24E48" w:rsidRPr="00F621BC">
        <w:rPr>
          <w:szCs w:val="24"/>
        </w:rPr>
        <w:t>, todėl 2017 m., kaip ir ankstesniais metais, trims teismo teisėjams teko dirbti su dviem teisėjų padėjėjais.</w:t>
      </w:r>
    </w:p>
    <w:p w:rsidR="009550D1" w:rsidRPr="00F621BC" w:rsidRDefault="001F3E4B" w:rsidP="000C1524">
      <w:pPr>
        <w:tabs>
          <w:tab w:val="left" w:pos="851"/>
        </w:tabs>
        <w:spacing w:line="360" w:lineRule="auto"/>
        <w:ind w:firstLine="851"/>
        <w:jc w:val="both"/>
        <w:rPr>
          <w:szCs w:val="24"/>
        </w:rPr>
      </w:pPr>
      <w:r w:rsidRPr="00F621BC">
        <w:rPr>
          <w:szCs w:val="24"/>
        </w:rPr>
        <w:t>2017 m. teisme veikė šie struktūriniai padaliniai: teismo raštinė, archyvas ir ūkio skyrius.</w:t>
      </w:r>
      <w:r w:rsidR="009550D1" w:rsidRPr="00F621BC">
        <w:rPr>
          <w:szCs w:val="24"/>
        </w:rPr>
        <w:t xml:space="preserve"> </w:t>
      </w:r>
      <w:r w:rsidR="00A275BC" w:rsidRPr="00F621BC">
        <w:rPr>
          <w:szCs w:val="24"/>
        </w:rPr>
        <w:t>Teismo personalą sudar</w:t>
      </w:r>
      <w:r w:rsidR="009550D1" w:rsidRPr="00F621BC">
        <w:rPr>
          <w:szCs w:val="24"/>
        </w:rPr>
        <w:t>ė</w:t>
      </w:r>
      <w:r w:rsidR="00A275BC" w:rsidRPr="00F621BC">
        <w:rPr>
          <w:szCs w:val="24"/>
        </w:rPr>
        <w:t xml:space="preserve"> valstybės tarnautojai ir darbuotojai, </w:t>
      </w:r>
      <w:r w:rsidR="009550D1" w:rsidRPr="00F621BC">
        <w:rPr>
          <w:szCs w:val="24"/>
        </w:rPr>
        <w:t>dirbantys pagal darbo sutartis. Teisėjų padėjėjai, teismo raštinės vedėja (vyresnioji specialistė), vyresnioji specialistė (teismo finansininkė), teismo posėdžių sekretorės ir teismo administracijos sekretorius buvo valstybės tarnautojai. Raštinės specialistė ir tarnautoja, vyresnysis specialistas (informatikas), ūkio skyriaus vedėjas, vyresnioji specialistė (archyvarė) bei darbininkė (valytoja)</w:t>
      </w:r>
      <w:r w:rsidR="000C1524" w:rsidRPr="00F621BC">
        <w:rPr>
          <w:szCs w:val="24"/>
        </w:rPr>
        <w:t xml:space="preserve"> dirbo pagal darbo sutartis.</w:t>
      </w:r>
    </w:p>
    <w:p w:rsidR="00EA3DC5" w:rsidRPr="00F621BC" w:rsidRDefault="00EA3DC5" w:rsidP="006A7500">
      <w:pPr>
        <w:tabs>
          <w:tab w:val="left" w:pos="851"/>
        </w:tabs>
        <w:spacing w:line="360" w:lineRule="auto"/>
        <w:ind w:firstLine="851"/>
        <w:jc w:val="both"/>
        <w:rPr>
          <w:color w:val="000000"/>
          <w:szCs w:val="24"/>
        </w:rPr>
      </w:pPr>
      <w:r w:rsidRPr="00F621BC">
        <w:rPr>
          <w:szCs w:val="24"/>
        </w:rPr>
        <w:t xml:space="preserve">2017 m. galiojusi teismo struktūra pateikta 9 </w:t>
      </w:r>
      <w:r w:rsidRPr="00F621BC">
        <w:rPr>
          <w:color w:val="000000"/>
          <w:szCs w:val="24"/>
        </w:rPr>
        <w:t>pav.</w:t>
      </w:r>
    </w:p>
    <w:p w:rsidR="007935E6" w:rsidRPr="00F621BC" w:rsidRDefault="007935E6" w:rsidP="002542D8">
      <w:pPr>
        <w:pStyle w:val="Betarp"/>
        <w:rPr>
          <w:sz w:val="20"/>
        </w:rPr>
      </w:pPr>
    </w:p>
    <w:p w:rsidR="002542D8" w:rsidRPr="00F621BC" w:rsidRDefault="006E3D61" w:rsidP="007935E6">
      <w:pPr>
        <w:tabs>
          <w:tab w:val="left" w:pos="851"/>
        </w:tabs>
        <w:spacing w:line="360" w:lineRule="auto"/>
        <w:ind w:firstLine="851"/>
        <w:jc w:val="center"/>
        <w:rPr>
          <w:i/>
          <w:color w:val="000000"/>
          <w:sz w:val="36"/>
          <w:szCs w:val="24"/>
        </w:rPr>
      </w:pPr>
      <w:r>
        <w:rPr>
          <w:noProof/>
          <w:lang w:eastAsia="lt-LT"/>
        </w:rPr>
        <w:pict>
          <v:group id="_x0000_s1026" editas="orgchart" style="position:absolute;left:0;text-align:left;margin-left:-5.25pt;margin-top:36.45pt;width:493.8pt;height:233.85pt;z-index:251658752" coordorigin="4072,9" coordsize="22690,2465">
            <o:diagram v:ext="edit" dgmstyle="16" dgmscalex="27366" dgmscaley="122238" dgmfontsize="5" constrainbounds="0,0,0,0">
              <o:relationtable v:ext="edit">
                <o:rel v:ext="edit" idsrc="#_s1043" iddest="#_s1043"/>
                <o:rel v:ext="edit" idsrc="#_s1050" iddest="#_s1043" idcntr="#_s1036"/>
                <o:rel v:ext="edit" idsrc="#_s1049" iddest="#_s1043" idcntr="#_s1038"/>
                <o:rel v:ext="edit" idsrc="#_s1053" iddest="#_s1043" idcntr="#_s1033"/>
                <o:rel v:ext="edit" idsrc="#_s1048" iddest="#_s1043" idcntr="#_s1039"/>
                <o:rel v:ext="edit" idsrc="#_s1047" iddest="#_s1043" idcntr="#_s1040"/>
                <o:rel v:ext="edit" idsrc="#_s1046" iddest="#_s1043" idcntr="#_s1037"/>
                <o:rel v:ext="edit" idsrc="#_s1044" iddest="#_s1043" idcntr="#_s1042"/>
                <o:rel v:ext="edit" idsrc="#_s1045" iddest="#_s1043" idcntr="#_s1041"/>
                <o:rel v:ext="edit" idsrc="#_s1051" iddest="#_s1050" idcntr="#_s1035"/>
                <o:rel v:ext="edit" idsrc="#_s1054" iddest="#_s1053" idcntr="#_s1032"/>
                <o:rel v:ext="edit" idsrc="#_s1058" iddest="#_s1048" idcntr="#_s1028"/>
                <o:rel v:ext="edit" idsrc="#_s1052" iddest="#_s1051" idcntr="#_s1034"/>
                <o:rel v:ext="edit" idsrc="#_s1055" iddest="#_s1054" idcntr="#_s1031"/>
                <o:rel v:ext="edit" idsrc="#_s1056" iddest="#_s1054" idcntr="#_s1030"/>
                <o:rel v:ext="edit" idsrc="#_s1057" iddest="#_s1054" idcntr="#_s1029"/>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4072;top:9;width:22690;height:2465" o:preferrelative="f" strokecolor="black [3213]">
              <v:fill o:detectmouseclick="t"/>
              <v:path o:extrusionok="t" o:connecttype="none"/>
              <o:lock v:ext="edit" aspectratio="f"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28" o:spid="_x0000_s1028" type="#_x0000_t34" style="position:absolute;left:14567;top:1062;width:753;height:1;rotation:270;flip:x" o:connectortype="elbow" adj="2270,156492000,-103410" strokeweight="2.25pt"/>
            <v:shape id="_s1029" o:spid="_x0000_s1029" type="#_x0000_t34" style="position:absolute;left:13279;top:457;width:354;height:3190;rotation:270;flip:x" o:connectortype="elbow" adj="4824,91780,-221681" strokeweight="2.25pt"/>
            <v:shape id="_s1030" o:spid="_x0000_s1030" type="#_x0000_t34" style="position:absolute;left:11600;top:1968;width:354;height:168;rotation:270" o:connectortype="elbow" adj="4824,-1743814,-161652" strokeweight="2.25pt"/>
            <v:shape id="_s1031" o:spid="_x0000_s1031" type="#_x0000_t34" style="position:absolute;left:10006;top:373;width:354;height:3357;rotation:270" o:connectortype="elbow" adj="4824,-87230,-104650" strokeweight="2.25pt"/>
            <v:shapetype id="_x0000_t32" coordsize="21600,21600" o:spt="32" o:oned="t" path="m,l21600,21600e" filled="f">
              <v:path arrowok="t" fillok="f" o:connecttype="none"/>
              <o:lock v:ext="edit" shapetype="t"/>
            </v:shapetype>
            <v:shape id="_s1032" o:spid="_x0000_s1032" type="#_x0000_t32" style="position:absolute;left:11485;top:1062;width:753;height:1;rotation:270" o:connectortype="elbow" adj="-77473,-1,-77473" strokeweight="2.25pt"/>
            <v:shape id="_s1033" o:spid="_x0000_s1033" type="#_x0000_t34" style="position:absolute;left:13517;top:-1476;width:354;height:3665;rotation:270" o:connectortype="elbow" adj="4830,-45815,-164858" strokeweight="2.25pt"/>
            <v:shape id="_s1034" o:spid="_x0000_s1034" type="#_x0000_t32" style="position:absolute;left:5143;top:1960;width:537;height:1;rotation:270" o:connectortype="elbow" adj="-32541,-1,-32541" strokeweight="2.25pt"/>
            <v:shape id="_s1035" o:spid="_x0000_s1035" type="#_x0000_t32" style="position:absolute;left:5035;top:1062;width:753;height:1;rotation:270" o:connectortype="elbow" adj="-23214,-1,-23214" strokeweight="2.25pt"/>
            <v:shape id="_s1036" o:spid="_x0000_s1036" type="#_x0000_t34" style="position:absolute;left:10292;top:-4701;width:354;height:10115;rotation:270" o:connectortype="elbow" adj="4830,-16600,-49398" strokeweight="2.25pt"/>
            <v:shape id="_s1037" o:spid="_x0000_s1037" type="#_x0000_t34" style="position:absolute;left:17218;top:-1512;width:354;height:3737;rotation:270;flip:x" o:connectortype="elbow" adj="4830,44933,-297356" strokeweight="2.25pt"/>
            <v:shape id="_s1038" o:spid="_x0000_s1038" type="#_x0000_t34" style="position:absolute;left:11725;top:-3268;width:354;height:7249;rotation:270" o:connectortype="elbow" adj="4830,-23163,-100702" strokeweight="2.25pt"/>
            <v:shape id="_s1039" o:spid="_x0000_s1039" type="#_x0000_t34" style="position:absolute;left:15058;top:65;width:354;height:583;rotation:270" o:connectortype="elbow" adj="4830,-287963,-220025" strokeweight="2.25pt"/>
            <v:shape id="_s1040" o:spid="_x0000_s1040" type="#_x0000_t34" style="position:absolute;left:16195;top:-489;width:354;height:1692;rotation:270;flip:x" o:connectortype="elbow" adj="4830,99218,-260756" strokeweight="2.25pt"/>
            <v:shape id="_s1041" o:spid="_x0000_s1041" type="#_x0000_t34" style="position:absolute;left:20180;top:-4474;width:354;height:9662;rotation:270;flip:x" o:connectortype="elbow" adj="4830,17378,-403424" strokeweight="2.25pt"/>
            <v:shape id="_s1042" o:spid="_x0000_s1042" type="#_x0000_t34" style="position:absolute;left:18537;top:-2831;width:354;height:6376;rotation:270;flip:x" o:connectortype="elbow" adj="4830,26332,-344607" strokeweight="2.25pt"/>
            <v:rect id="_s1043" o:spid="_x0000_s1043" style="position:absolute;left:13565;top:9;width:3922;height:171;v-text-anchor:middle" o:dgmlayout="0" o:dgmnodekind="1" filled="f">
              <v:textbox style="mso-next-textbox:#_s1043" inset="0,0,0,0">
                <w:txbxContent>
                  <w:p w:rsidR="008B0005" w:rsidRPr="00EA3DC5" w:rsidRDefault="008B0005" w:rsidP="00EA3DC5">
                    <w:pPr>
                      <w:pStyle w:val="Betarp"/>
                      <w:jc w:val="center"/>
                      <w:rPr>
                        <w:b/>
                        <w:sz w:val="15"/>
                        <w:szCs w:val="24"/>
                      </w:rPr>
                    </w:pPr>
                    <w:r w:rsidRPr="00EA3DC5">
                      <w:rPr>
                        <w:b/>
                        <w:sz w:val="15"/>
                        <w:szCs w:val="24"/>
                        <w:lang w:eastAsia="lt-LT"/>
                      </w:rPr>
                      <w:t>TEISMO PIRMININKAS</w:t>
                    </w:r>
                  </w:p>
                </w:txbxContent>
              </v:textbox>
            </v:rect>
            <v:rect id="_s1044" o:spid="_x0000_s1044" style="position:absolute;left:20536;top:534;width:2732;height:551;v-text-anchor:middle" o:dgmlayout="0" o:dgmnodekind="0" filled="f">
              <v:textbox style="mso-next-textbox:#_s1044" inset="0,0,0,0">
                <w:txbxContent>
                  <w:p w:rsidR="008B0005" w:rsidRPr="00EA3DC5" w:rsidRDefault="008B0005" w:rsidP="00EA3DC5">
                    <w:pPr>
                      <w:jc w:val="center"/>
                      <w:rPr>
                        <w:sz w:val="13"/>
                      </w:rPr>
                    </w:pPr>
                    <w:r w:rsidRPr="00EA3DC5">
                      <w:rPr>
                        <w:b/>
                        <w:bCs/>
                        <w:color w:val="000000"/>
                        <w:sz w:val="13"/>
                        <w:lang w:eastAsia="lt-LT"/>
                      </w:rPr>
                      <w:t>VYRESNYSIS SPECIALISTAS (TEISMO FINANSININKAS)</w:t>
                    </w:r>
                  </w:p>
                </w:txbxContent>
              </v:textbox>
            </v:rect>
            <v:rect id="_s1045" o:spid="_x0000_s1045" style="position:absolute;left:23613;top:534;width:3149;height:426;v-text-anchor:middle" o:dgmlayout="0" o:dgmnodekind="0" filled="f">
              <v:textbox style="mso-next-textbox:#_s1045" inset="0,0,0,0">
                <w:txbxContent>
                  <w:p w:rsidR="008B0005" w:rsidRPr="00EA3DC5" w:rsidRDefault="008B0005" w:rsidP="00EA3DC5">
                    <w:pPr>
                      <w:ind w:left="-142" w:right="-72"/>
                      <w:jc w:val="center"/>
                      <w:rPr>
                        <w:sz w:val="13"/>
                      </w:rPr>
                    </w:pPr>
                    <w:r w:rsidRPr="00EA3DC5">
                      <w:rPr>
                        <w:b/>
                        <w:bCs/>
                        <w:color w:val="000000"/>
                        <w:sz w:val="13"/>
                        <w:lang w:eastAsia="lt-LT"/>
                      </w:rPr>
                      <w:t>TEISMO ADMINISTRACIJOS SEKRETORIUS</w:t>
                    </w:r>
                  </w:p>
                </w:txbxContent>
              </v:textbox>
            </v:rect>
            <v:rect id="_s1046" o:spid="_x0000_s1046" style="position:absolute;left:18334;top:534;width:1857;height:300;v-text-anchor:middle" o:dgmlayout="0" o:dgmnodekind="0" filled="f">
              <v:textbox style="mso-next-textbox:#_s1046" inset="0,0,0,0">
                <w:txbxContent>
                  <w:p w:rsidR="008B0005" w:rsidRPr="00EA3DC5" w:rsidRDefault="008B0005" w:rsidP="00EA3DC5">
                    <w:pPr>
                      <w:jc w:val="center"/>
                      <w:rPr>
                        <w:sz w:val="13"/>
                      </w:rPr>
                    </w:pPr>
                    <w:r w:rsidRPr="00EA3DC5">
                      <w:rPr>
                        <w:b/>
                        <w:bCs/>
                        <w:color w:val="000000"/>
                        <w:sz w:val="13"/>
                        <w:lang w:eastAsia="lt-LT"/>
                      </w:rPr>
                      <w:t>TEISĖJŲ PADĖJĖJAI</w:t>
                    </w:r>
                  </w:p>
                </w:txbxContent>
              </v:textbox>
            </v:rect>
            <v:rect id="_s1047" o:spid="_x0000_s1047" style="position:absolute;left:16447;top:534;width:1542;height:130;v-text-anchor:middle" o:dgmlayout="0" o:dgmnodekind="0" filled="f">
              <v:textbox style="mso-next-textbox:#_s1047" inset="0,0,0,0">
                <w:txbxContent>
                  <w:p w:rsidR="008B0005" w:rsidRPr="00EA3DC5" w:rsidRDefault="008B0005" w:rsidP="00EA3DC5">
                    <w:pPr>
                      <w:jc w:val="center"/>
                      <w:rPr>
                        <w:sz w:val="13"/>
                      </w:rPr>
                    </w:pPr>
                    <w:r w:rsidRPr="00EA3DC5">
                      <w:rPr>
                        <w:b/>
                        <w:bCs/>
                        <w:color w:val="000000"/>
                        <w:sz w:val="13"/>
                        <w:lang w:eastAsia="lt-LT"/>
                      </w:rPr>
                      <w:t>TEISĖJAI</w:t>
                    </w:r>
                  </w:p>
                </w:txbxContent>
              </v:textbox>
            </v:rect>
            <v:rect id="_s1048" o:spid="_x0000_s1048" style="position:absolute;left:13784;top:534;width:2318;height:152;v-text-anchor:middle" o:dgmlayout="0" o:dgmnodekind="0" fillcolor="#d8d8d8 [2732]">
              <v:textbox style="mso-next-textbox:#_s1048" inset="0,0,0,0">
                <w:txbxContent>
                  <w:p w:rsidR="008B0005" w:rsidRPr="00EA3DC5" w:rsidRDefault="008B0005" w:rsidP="00EA3DC5">
                    <w:pPr>
                      <w:jc w:val="center"/>
                      <w:rPr>
                        <w:b/>
                        <w:sz w:val="13"/>
                      </w:rPr>
                    </w:pPr>
                    <w:r w:rsidRPr="00EA3DC5">
                      <w:rPr>
                        <w:b/>
                        <w:sz w:val="13"/>
                      </w:rPr>
                      <w:t>ARCHYVAS</w:t>
                    </w:r>
                  </w:p>
                </w:txbxContent>
              </v:textbox>
            </v:rect>
            <v:rect id="_s1049" o:spid="_x0000_s1049" style="position:absolute;left:6875;top:534;width:2801;height:416;mso-position-horizontal:absolute;v-text-anchor:middle" o:dgmlayout="0" o:dgmnodekind="0" filled="f">
              <v:textbox style="mso-next-textbox:#_s1049" inset="0,0,0,0">
                <w:txbxContent>
                  <w:p w:rsidR="008B0005" w:rsidRPr="00EA3DC5" w:rsidRDefault="008B0005" w:rsidP="00EA3DC5">
                    <w:pPr>
                      <w:jc w:val="center"/>
                      <w:rPr>
                        <w:sz w:val="13"/>
                      </w:rPr>
                    </w:pPr>
                    <w:r w:rsidRPr="00EA3DC5">
                      <w:rPr>
                        <w:b/>
                        <w:bCs/>
                        <w:color w:val="000000"/>
                        <w:sz w:val="13"/>
                        <w:lang w:eastAsia="lt-LT"/>
                      </w:rPr>
                      <w:t>VYRESNYSIS SPECIALISTAS (INFORMATIKAS)</w:t>
                    </w:r>
                  </w:p>
                </w:txbxContent>
              </v:textbox>
            </v:rect>
            <v:rect id="_s1050" o:spid="_x0000_s1050" style="position:absolute;left:4290;top:534;width:2240;height:152;v-text-anchor:middle" o:dgmlayout="0" o:dgmnodekind="0" fillcolor="#d8d8d8 [2732]">
              <v:textbox style="mso-next-textbox:#_s1050" inset="0,0,0,0">
                <w:txbxContent>
                  <w:p w:rsidR="008B0005" w:rsidRPr="00EA3DC5" w:rsidRDefault="008B0005" w:rsidP="00EA3DC5">
                    <w:pPr>
                      <w:jc w:val="center"/>
                      <w:rPr>
                        <w:sz w:val="10"/>
                      </w:rPr>
                    </w:pPr>
                    <w:r w:rsidRPr="00EA3DC5">
                      <w:rPr>
                        <w:b/>
                        <w:bCs/>
                        <w:color w:val="000000"/>
                        <w:sz w:val="13"/>
                        <w:lang w:eastAsia="lt-LT"/>
                      </w:rPr>
                      <w:t>ŪKIO SKYRIUS</w:t>
                    </w:r>
                  </w:p>
                </w:txbxContent>
              </v:textbox>
            </v:rect>
            <v:rect id="_s1051" o:spid="_x0000_s1051" style="position:absolute;left:4188;top:1439;width:2445;height:253;v-text-anchor:middle" o:dgmlayout="0" o:dgmnodekind="0" o:dgmlayoutmru="0" filled="f">
              <v:textbox style="mso-next-textbox:#_s1051" inset="0,0,0,0">
                <w:txbxContent>
                  <w:p w:rsidR="008B0005" w:rsidRPr="00EA3DC5" w:rsidRDefault="008B0005" w:rsidP="00EA3DC5">
                    <w:pPr>
                      <w:jc w:val="center"/>
                      <w:rPr>
                        <w:sz w:val="13"/>
                      </w:rPr>
                    </w:pPr>
                    <w:r w:rsidRPr="00EA3DC5">
                      <w:rPr>
                        <w:b/>
                        <w:bCs/>
                        <w:color w:val="000000"/>
                        <w:sz w:val="13"/>
                        <w:lang w:eastAsia="lt-LT"/>
                      </w:rPr>
                      <w:t>ŪKIO SKYRIAUS VEDĖJAS</w:t>
                    </w:r>
                  </w:p>
                  <w:p w:rsidR="008B0005" w:rsidRPr="00EA3DC5" w:rsidRDefault="008B0005" w:rsidP="00EA3DC5">
                    <w:pPr>
                      <w:jc w:val="center"/>
                      <w:rPr>
                        <w:sz w:val="8"/>
                      </w:rPr>
                    </w:pPr>
                  </w:p>
                </w:txbxContent>
              </v:textbox>
            </v:rect>
            <v:rect id="_s1052" o:spid="_x0000_s1052" style="position:absolute;left:4072;top:2229;width:2676;height:224;v-text-anchor:middle" o:dgmlayout="2" o:dgmnodekind="0" filled="f" strokecolor="black [3213]">
              <v:textbox style="mso-next-textbox:#_s1052" inset="1.64731mm,0,1.64731mm,0">
                <w:txbxContent>
                  <w:p w:rsidR="008B0005" w:rsidRPr="00EA3DC5" w:rsidRDefault="008B0005" w:rsidP="00EA3DC5">
                    <w:pPr>
                      <w:jc w:val="center"/>
                      <w:rPr>
                        <w:b/>
                        <w:sz w:val="13"/>
                      </w:rPr>
                    </w:pPr>
                    <w:r w:rsidRPr="00EA3DC5">
                      <w:rPr>
                        <w:b/>
                        <w:sz w:val="13"/>
                      </w:rPr>
                      <w:t>DARBININKAS (VALYTOJAS)</w:t>
                    </w:r>
                  </w:p>
                  <w:p w:rsidR="008B0005" w:rsidRPr="00EA3DC5" w:rsidRDefault="008B0005" w:rsidP="00EA3DC5">
                    <w:pPr>
                      <w:jc w:val="center"/>
                      <w:rPr>
                        <w:sz w:val="8"/>
                      </w:rPr>
                    </w:pPr>
                  </w:p>
                </w:txbxContent>
              </v:textbox>
            </v:rect>
            <v:rect id="_s1053" o:spid="_x0000_s1053" style="position:absolute;left:10560;top:534;width:2602;height:152;v-text-anchor:middle" o:dgmlayout="0" o:dgmnodekind="0" fillcolor="#d8d8d8 [2732]">
              <v:textbox style="mso-next-textbox:#_s1053" inset="0,0,0,0">
                <w:txbxContent>
                  <w:p w:rsidR="008B0005" w:rsidRPr="00EA3DC5" w:rsidRDefault="008B0005" w:rsidP="00EA3DC5">
                    <w:pPr>
                      <w:jc w:val="center"/>
                      <w:rPr>
                        <w:b/>
                        <w:bCs/>
                        <w:color w:val="000000"/>
                        <w:sz w:val="13"/>
                        <w:szCs w:val="24"/>
                        <w:lang w:eastAsia="lt-LT"/>
                      </w:rPr>
                    </w:pPr>
                    <w:r w:rsidRPr="00EA3DC5">
                      <w:rPr>
                        <w:b/>
                        <w:bCs/>
                        <w:color w:val="000000"/>
                        <w:sz w:val="13"/>
                        <w:szCs w:val="24"/>
                        <w:lang w:eastAsia="lt-LT"/>
                      </w:rPr>
                      <w:t>TEISMO RAŠTINĖ</w:t>
                    </w:r>
                  </w:p>
                  <w:p w:rsidR="008B0005" w:rsidRPr="00EA3DC5" w:rsidRDefault="008B0005" w:rsidP="00EA3DC5">
                    <w:pPr>
                      <w:jc w:val="center"/>
                      <w:rPr>
                        <w:sz w:val="8"/>
                      </w:rPr>
                    </w:pPr>
                  </w:p>
                </w:txbxContent>
              </v:textbox>
            </v:rect>
            <v:rect id="_s1054" o:spid="_x0000_s1054" style="position:absolute;left:10404;top:1439;width:2914;height:436;v-text-anchor:middle" o:dgmlayout="0" o:dgmnodekind="0" o:dgmlayoutmru="0" filled="f">
              <v:textbox style="mso-next-textbox:#_s1054" inset="0,0,0,0">
                <w:txbxContent>
                  <w:p w:rsidR="008B0005" w:rsidRPr="00EA3DC5" w:rsidRDefault="008B0005" w:rsidP="00EA3DC5">
                    <w:pPr>
                      <w:jc w:val="center"/>
                      <w:rPr>
                        <w:b/>
                        <w:bCs/>
                        <w:color w:val="000000"/>
                        <w:sz w:val="13"/>
                        <w:lang w:eastAsia="lt-LT"/>
                      </w:rPr>
                    </w:pPr>
                    <w:r w:rsidRPr="00EA3DC5">
                      <w:rPr>
                        <w:b/>
                        <w:bCs/>
                        <w:color w:val="000000"/>
                        <w:sz w:val="13"/>
                        <w:lang w:eastAsia="lt-LT"/>
                      </w:rPr>
                      <w:t>TEISMO RAŠTINĖS VEDĖJAS (VYRESNYSIS SPECIALISTAS)</w:t>
                    </w:r>
                  </w:p>
                  <w:p w:rsidR="008B0005" w:rsidRPr="00EA3DC5" w:rsidRDefault="008B0005" w:rsidP="00EA3DC5">
                    <w:pPr>
                      <w:jc w:val="center"/>
                      <w:rPr>
                        <w:sz w:val="13"/>
                      </w:rPr>
                    </w:pPr>
                  </w:p>
                  <w:p w:rsidR="008B0005" w:rsidRPr="00EA3DC5" w:rsidRDefault="008B0005" w:rsidP="00EA3DC5">
                    <w:pPr>
                      <w:jc w:val="center"/>
                      <w:rPr>
                        <w:sz w:val="8"/>
                      </w:rPr>
                    </w:pPr>
                  </w:p>
                </w:txbxContent>
              </v:textbox>
            </v:rect>
            <v:rect id="_s1055" o:spid="_x0000_s1055" style="position:absolute;left:7093;top:2229;width:2822;height:168;v-text-anchor:middle" o:dgmlayout="2" o:dgmnodekind="0" filled="f" strokecolor="black [3213]">
              <v:textbox style="mso-next-textbox:#_s1055" inset="1.86133mm,0,1.86133mm,0">
                <w:txbxContent>
                  <w:p w:rsidR="008B0005" w:rsidRPr="00EA3DC5" w:rsidRDefault="008B0005" w:rsidP="00EA3DC5">
                    <w:pPr>
                      <w:jc w:val="center"/>
                      <w:rPr>
                        <w:sz w:val="13"/>
                      </w:rPr>
                    </w:pPr>
                    <w:r w:rsidRPr="00EA3DC5">
                      <w:rPr>
                        <w:b/>
                        <w:bCs/>
                        <w:color w:val="000000"/>
                        <w:sz w:val="13"/>
                        <w:lang w:eastAsia="lt-LT"/>
                      </w:rPr>
                      <w:t>SPECIALISTAS</w:t>
                    </w:r>
                  </w:p>
                  <w:p w:rsidR="008B0005" w:rsidRPr="00EA3DC5" w:rsidRDefault="008B0005" w:rsidP="00EA3DC5">
                    <w:pPr>
                      <w:jc w:val="center"/>
                      <w:rPr>
                        <w:sz w:val="8"/>
                      </w:rPr>
                    </w:pPr>
                  </w:p>
                </w:txbxContent>
              </v:textbox>
            </v:rect>
            <v:rect id="_s1056" o:spid="_x0000_s1056" style="position:absolute;left:10260;top:2229;width:2865;height:158;v-text-anchor:middle" o:dgmlayout="2" o:dgmnodekind="0" filled="f" strokecolor="black [3213]">
              <v:textbox style="mso-next-textbox:#_s1056" inset="1.86133mm,0,1.86133mm,0">
                <w:txbxContent>
                  <w:p w:rsidR="008B0005" w:rsidRPr="00EA3DC5" w:rsidRDefault="008B0005" w:rsidP="00EA3DC5">
                    <w:pPr>
                      <w:jc w:val="center"/>
                      <w:rPr>
                        <w:sz w:val="13"/>
                      </w:rPr>
                    </w:pPr>
                    <w:r w:rsidRPr="00EA3DC5">
                      <w:rPr>
                        <w:b/>
                        <w:bCs/>
                        <w:color w:val="000000"/>
                        <w:sz w:val="13"/>
                        <w:lang w:eastAsia="lt-LT"/>
                      </w:rPr>
                      <w:t>TARNAUTOJAS</w:t>
                    </w:r>
                  </w:p>
                  <w:p w:rsidR="008B0005" w:rsidRPr="00EA3DC5" w:rsidRDefault="008B0005" w:rsidP="00EA3DC5">
                    <w:pPr>
                      <w:jc w:val="center"/>
                      <w:rPr>
                        <w:sz w:val="8"/>
                      </w:rPr>
                    </w:pPr>
                  </w:p>
                </w:txbxContent>
              </v:textbox>
            </v:rect>
            <v:rect id="_s1057" o:spid="_x0000_s1057" style="position:absolute;left:13470;top:2229;width:3159;height:245;v-text-anchor:middle" o:dgmlayout="0" o:dgmnodekind="0" filled="f" strokecolor="black [3213]">
              <v:textbox style="mso-next-textbox:#_s1057" inset="1.86133mm,0,1.86133mm,0">
                <w:txbxContent>
                  <w:p w:rsidR="008B0005" w:rsidRPr="00EA3DC5" w:rsidRDefault="008B0005" w:rsidP="00EA3DC5">
                    <w:pPr>
                      <w:jc w:val="center"/>
                      <w:rPr>
                        <w:sz w:val="13"/>
                      </w:rPr>
                    </w:pPr>
                    <w:r w:rsidRPr="00EA3DC5">
                      <w:rPr>
                        <w:b/>
                        <w:bCs/>
                        <w:color w:val="000000"/>
                        <w:sz w:val="13"/>
                        <w:lang w:eastAsia="lt-LT"/>
                      </w:rPr>
                      <w:t>TEISMO POSĖDŽIŲ SEKRETORIAI</w:t>
                    </w:r>
                  </w:p>
                  <w:p w:rsidR="008B0005" w:rsidRPr="00EA3DC5" w:rsidRDefault="008B0005" w:rsidP="00EA3DC5">
                    <w:pPr>
                      <w:jc w:val="center"/>
                      <w:rPr>
                        <w:sz w:val="13"/>
                      </w:rPr>
                    </w:pPr>
                  </w:p>
                </w:txbxContent>
              </v:textbox>
            </v:rect>
            <v:rect id="_s1058" o:spid="_x0000_s1058" style="position:absolute;left:13663;top:1439;width:2561;height:416;v-text-anchor:middle" o:dgmlayout="2" o:dgmnodekind="0" filled="f">
              <v:textbox style="mso-next-textbox:#_s1058" inset="0,0,0,0">
                <w:txbxContent>
                  <w:p w:rsidR="008B0005" w:rsidRPr="00EA3DC5" w:rsidRDefault="008B0005" w:rsidP="00EA3DC5">
                    <w:pPr>
                      <w:jc w:val="center"/>
                      <w:rPr>
                        <w:sz w:val="13"/>
                      </w:rPr>
                    </w:pPr>
                    <w:r w:rsidRPr="00EA3DC5">
                      <w:rPr>
                        <w:b/>
                        <w:sz w:val="13"/>
                      </w:rPr>
                      <w:t>VYRESNYSIS SPECIALISTAS (ARCHYVARAS)</w:t>
                    </w:r>
                  </w:p>
                </w:txbxContent>
              </v:textbox>
            </v:rect>
            <w10:wrap type="square"/>
          </v:group>
        </w:pict>
      </w:r>
      <w:r w:rsidR="002542D8" w:rsidRPr="00F621BC">
        <w:rPr>
          <w:i/>
          <w:color w:val="000000"/>
          <w:sz w:val="36"/>
          <w:szCs w:val="24"/>
        </w:rPr>
        <w:t>2017 metų teismo struktūros schema</w:t>
      </w:r>
    </w:p>
    <w:p w:rsidR="002542D8" w:rsidRPr="00F621BC" w:rsidRDefault="002542D8" w:rsidP="007935E6">
      <w:pPr>
        <w:tabs>
          <w:tab w:val="left" w:pos="851"/>
        </w:tabs>
        <w:spacing w:line="360" w:lineRule="auto"/>
        <w:ind w:firstLine="851"/>
        <w:jc w:val="center"/>
        <w:rPr>
          <w:i/>
          <w:color w:val="000000"/>
          <w:sz w:val="20"/>
          <w:szCs w:val="24"/>
        </w:rPr>
      </w:pPr>
    </w:p>
    <w:p w:rsidR="00EA3DC5" w:rsidRPr="00F621BC" w:rsidRDefault="007935E6" w:rsidP="007935E6">
      <w:pPr>
        <w:tabs>
          <w:tab w:val="left" w:pos="851"/>
        </w:tabs>
        <w:spacing w:line="360" w:lineRule="auto"/>
        <w:ind w:firstLine="851"/>
        <w:jc w:val="center"/>
        <w:rPr>
          <w:i/>
          <w:color w:val="000000"/>
          <w:sz w:val="20"/>
          <w:szCs w:val="24"/>
        </w:rPr>
      </w:pPr>
      <w:r w:rsidRPr="00F621BC">
        <w:rPr>
          <w:i/>
          <w:color w:val="000000"/>
          <w:sz w:val="20"/>
          <w:szCs w:val="24"/>
        </w:rPr>
        <w:t>9 pav.</w:t>
      </w:r>
    </w:p>
    <w:p w:rsidR="00441D49" w:rsidRPr="00F621BC" w:rsidRDefault="00EA3DC5" w:rsidP="00441D49">
      <w:pPr>
        <w:tabs>
          <w:tab w:val="left" w:pos="851"/>
        </w:tabs>
        <w:spacing w:line="360" w:lineRule="auto"/>
        <w:ind w:firstLine="851"/>
        <w:jc w:val="both"/>
        <w:rPr>
          <w:szCs w:val="24"/>
        </w:rPr>
      </w:pPr>
      <w:r w:rsidRPr="00F621BC">
        <w:rPr>
          <w:szCs w:val="24"/>
        </w:rPr>
        <w:lastRenderedPageBreak/>
        <w:t>201</w:t>
      </w:r>
      <w:r w:rsidR="007935E6" w:rsidRPr="00F621BC">
        <w:rPr>
          <w:szCs w:val="24"/>
        </w:rPr>
        <w:t>7</w:t>
      </w:r>
      <w:r w:rsidRPr="00F621BC">
        <w:rPr>
          <w:szCs w:val="24"/>
        </w:rPr>
        <w:t xml:space="preserve"> metais </w:t>
      </w:r>
      <w:r w:rsidR="00441D49" w:rsidRPr="00F621BC">
        <w:rPr>
          <w:szCs w:val="24"/>
        </w:rPr>
        <w:t xml:space="preserve">organizacinės veiklos priežiūros tvarka </w:t>
      </w:r>
      <w:r w:rsidRPr="00F621BC">
        <w:rPr>
          <w:szCs w:val="24"/>
        </w:rPr>
        <w:t>atlikt</w:t>
      </w:r>
      <w:r w:rsidR="007935E6" w:rsidRPr="00F621BC">
        <w:rPr>
          <w:szCs w:val="24"/>
        </w:rPr>
        <w:t>i keturi</w:t>
      </w:r>
      <w:r w:rsidR="00441D49" w:rsidRPr="00F621BC">
        <w:rPr>
          <w:szCs w:val="24"/>
        </w:rPr>
        <w:t xml:space="preserve"> planiniai tiksliniai teisėjų bei teismo personalo veiklos patikrinimai. Tikrintas Duomenų suvedimo į Teismų informacinę sistemą „LITEKO“</w:t>
      </w:r>
      <w:r w:rsidR="00EA4A91" w:rsidRPr="00F621BC">
        <w:rPr>
          <w:szCs w:val="24"/>
        </w:rPr>
        <w:t xml:space="preserve"> (toliau – LITEKO)</w:t>
      </w:r>
      <w:r w:rsidR="00441D49" w:rsidRPr="00F621BC">
        <w:rPr>
          <w:szCs w:val="24"/>
        </w:rPr>
        <w:t xml:space="preserve"> nustatytos tvarkos laikymasis, teismo sprendimų, nuosprendžių, nutarimų ir nutarčių skelbimas internete, teismo posėdžių garso įrašymo ir saugojimo taisyklių laikymasis, taip pat tikrintos baudžiamosios ir civilinės bylos, kurių nagrinėjimas 2017 m. liepos 1 d. duomenimis užsitęsė ilgiau negu vienerius metus ir administracinių nusižengimų bylos, kurių nagrinėjimas 2017 m. liepos 1 d. duomenimis užsitęsė ilgiau negu šešis mėnesius.</w:t>
      </w:r>
    </w:p>
    <w:p w:rsidR="00EA4A91" w:rsidRPr="00F621BC" w:rsidRDefault="00441D49" w:rsidP="00EA4A91">
      <w:pPr>
        <w:tabs>
          <w:tab w:val="left" w:pos="851"/>
        </w:tabs>
        <w:spacing w:line="360" w:lineRule="auto"/>
        <w:ind w:firstLine="851"/>
        <w:jc w:val="both"/>
        <w:rPr>
          <w:noProof/>
          <w:szCs w:val="24"/>
        </w:rPr>
      </w:pPr>
      <w:r w:rsidRPr="00F621BC">
        <w:rPr>
          <w:szCs w:val="24"/>
        </w:rPr>
        <w:t xml:space="preserve">2017 </w:t>
      </w:r>
      <w:r w:rsidRPr="00F621BC">
        <w:rPr>
          <w:noProof/>
          <w:szCs w:val="24"/>
        </w:rPr>
        <w:t>metais teisme teisėjų bei teismo personalo kaitos nebuvo</w:t>
      </w:r>
      <w:r w:rsidR="00EA4A91" w:rsidRPr="00F621BC">
        <w:rPr>
          <w:noProof/>
          <w:szCs w:val="24"/>
        </w:rPr>
        <w:t>.</w:t>
      </w:r>
      <w:r w:rsidR="002542D8" w:rsidRPr="00F621BC">
        <w:rPr>
          <w:noProof/>
          <w:szCs w:val="24"/>
        </w:rPr>
        <w:t xml:space="preserve"> </w:t>
      </w:r>
      <w:r w:rsidR="002542D8" w:rsidRPr="00F621BC">
        <w:rPr>
          <w:szCs w:val="24"/>
        </w:rPr>
        <w:t xml:space="preserve">Įgyvendinus teismų reformą, visiems </w:t>
      </w:r>
      <w:r w:rsidR="002542D8" w:rsidRPr="00F621BC">
        <w:rPr>
          <w:color w:val="000000"/>
          <w:szCs w:val="24"/>
        </w:rPr>
        <w:t xml:space="preserve">Kupiškio rajono apylinkės teismo valstybės tarnautojams bei darbuotojams, kurių pareigybes buvo numatyta naikinti, </w:t>
      </w:r>
      <w:r w:rsidR="002542D8" w:rsidRPr="00F621BC">
        <w:rPr>
          <w:szCs w:val="24"/>
        </w:rPr>
        <w:t xml:space="preserve">2017 </w:t>
      </w:r>
      <w:r w:rsidR="002542D8" w:rsidRPr="00F621BC">
        <w:rPr>
          <w:noProof/>
          <w:szCs w:val="24"/>
        </w:rPr>
        <w:t xml:space="preserve">metų pabaigoje buvo pasiūlyta eiti pareigas po reorganizacijos liekančiame veikti teisme. Visiems </w:t>
      </w:r>
      <w:r w:rsidR="002542D8" w:rsidRPr="00F621BC">
        <w:rPr>
          <w:color w:val="000000"/>
          <w:szCs w:val="24"/>
        </w:rPr>
        <w:t xml:space="preserve">teismo valstybės tarnautojams bei darbuotojams su šiais pasiūlymais sutikus, faktiškai atleistų valstybės tarnautojų </w:t>
      </w:r>
      <w:r w:rsidR="00797CA2" w:rsidRPr="00F621BC">
        <w:rPr>
          <w:color w:val="000000"/>
          <w:szCs w:val="24"/>
        </w:rPr>
        <w:t>ar d</w:t>
      </w:r>
      <w:r w:rsidR="002542D8" w:rsidRPr="00F621BC">
        <w:rPr>
          <w:color w:val="000000"/>
          <w:szCs w:val="24"/>
        </w:rPr>
        <w:t xml:space="preserve">arbuotojų </w:t>
      </w:r>
      <w:r w:rsidR="002542D8" w:rsidRPr="00F621BC">
        <w:rPr>
          <w:szCs w:val="24"/>
        </w:rPr>
        <w:t xml:space="preserve">2017 </w:t>
      </w:r>
      <w:r w:rsidR="002542D8" w:rsidRPr="00F621BC">
        <w:rPr>
          <w:noProof/>
          <w:szCs w:val="24"/>
        </w:rPr>
        <w:t>metų pabaigoje nebuvo.</w:t>
      </w:r>
    </w:p>
    <w:p w:rsidR="00EA4A91" w:rsidRPr="00F621BC" w:rsidRDefault="00EA4A91" w:rsidP="00EA4A91">
      <w:pPr>
        <w:tabs>
          <w:tab w:val="left" w:pos="851"/>
        </w:tabs>
        <w:spacing w:line="360" w:lineRule="auto"/>
        <w:ind w:firstLine="851"/>
        <w:jc w:val="both"/>
        <w:rPr>
          <w:szCs w:val="24"/>
        </w:rPr>
      </w:pPr>
      <w:r w:rsidRPr="00F621BC">
        <w:rPr>
          <w:noProof/>
          <w:szCs w:val="24"/>
        </w:rPr>
        <w:t xml:space="preserve">Teisme dirbantiems teisėjams specializacijos, išskyrus </w:t>
      </w:r>
      <w:r w:rsidRPr="00F621BC">
        <w:rPr>
          <w:rFonts w:eastAsia="Calibri"/>
          <w:szCs w:val="24"/>
        </w:rPr>
        <w:t xml:space="preserve">specializaciją </w:t>
      </w:r>
      <w:r w:rsidRPr="00F621BC">
        <w:rPr>
          <w:rFonts w:eastAsia="Calibri"/>
          <w:szCs w:val="22"/>
        </w:rPr>
        <w:t xml:space="preserve">nagrinėti darbo bylas, nebuvo </w:t>
      </w:r>
      <w:r w:rsidRPr="00F621BC">
        <w:rPr>
          <w:rFonts w:eastAsia="Calibri"/>
          <w:szCs w:val="24"/>
        </w:rPr>
        <w:t xml:space="preserve">nustatytos. Specializacija </w:t>
      </w:r>
      <w:r w:rsidRPr="00F621BC">
        <w:rPr>
          <w:rFonts w:eastAsia="Calibri"/>
          <w:szCs w:val="22"/>
        </w:rPr>
        <w:t xml:space="preserve">nagrinėti darbo bylas buvo nustatyta </w:t>
      </w:r>
      <w:r w:rsidRPr="00F621BC">
        <w:t>teisėjui Virginijui Skaraičiui. V</w:t>
      </w:r>
      <w:r w:rsidRPr="00F621BC">
        <w:rPr>
          <w:rFonts w:eastAsia="Calibri"/>
          <w:szCs w:val="24"/>
        </w:rPr>
        <w:t>isi teisme dirbantys teisėjai nagrinėjo c</w:t>
      </w:r>
      <w:r w:rsidRPr="00F621BC">
        <w:rPr>
          <w:noProof/>
          <w:szCs w:val="24"/>
        </w:rPr>
        <w:t>ivilines, baudžiamąsias ir administracinių nusižengimų bylas bei vykdė ikiteisminio tyrimo teisėjo funkcijas. Teisme gautos bylos bei ikiteisminio tyrimo dokumentai</w:t>
      </w:r>
      <w:r w:rsidRPr="00F621BC">
        <w:rPr>
          <w:szCs w:val="24"/>
        </w:rPr>
        <w:t>, išskyrus teisės aktuose numatytas išimtis, teisėjams buvo paskiriamos automatizuotai naudojant LITEKO Bylų skirstymo modulį.</w:t>
      </w:r>
    </w:p>
    <w:p w:rsidR="005028EA" w:rsidRPr="00F621BC" w:rsidRDefault="00C63A3B" w:rsidP="00D333BD">
      <w:pPr>
        <w:tabs>
          <w:tab w:val="left" w:pos="851"/>
        </w:tabs>
        <w:spacing w:line="360" w:lineRule="auto"/>
        <w:ind w:firstLine="851"/>
        <w:jc w:val="both"/>
        <w:rPr>
          <w:rFonts w:eastAsia="Calibri"/>
          <w:szCs w:val="24"/>
        </w:rPr>
      </w:pPr>
      <w:r w:rsidRPr="00F621BC">
        <w:rPr>
          <w:szCs w:val="24"/>
        </w:rPr>
        <w:t>2017 metais</w:t>
      </w:r>
      <w:r w:rsidR="00D333BD" w:rsidRPr="00F621BC">
        <w:rPr>
          <w:rFonts w:eastAsia="Calibri"/>
          <w:szCs w:val="24"/>
        </w:rPr>
        <w:t xml:space="preserve"> vienas teismo teisėjas bylas nagrinėjo vidutiniškai 197 darbo dienas (2016 m. –205 darbo dienas).</w:t>
      </w:r>
      <w:r w:rsidR="005028EA" w:rsidRPr="00F621BC">
        <w:rPr>
          <w:rFonts w:eastAsia="Calibri"/>
          <w:szCs w:val="24"/>
        </w:rPr>
        <w:t xml:space="preserve"> </w:t>
      </w:r>
      <w:r w:rsidR="00D333BD" w:rsidRPr="00F621BC">
        <w:rPr>
          <w:rFonts w:eastAsia="Calibri"/>
          <w:szCs w:val="24"/>
        </w:rPr>
        <w:t xml:space="preserve">Baudžiamojo proceso kodekse bei Apsaugos nuo smurto artimoje aplinkoje įstatyme nustatytoms funkcijoms atlikti teismo teisėjai </w:t>
      </w:r>
      <w:r w:rsidR="00D333BD" w:rsidRPr="00F621BC">
        <w:rPr>
          <w:szCs w:val="24"/>
        </w:rPr>
        <w:t xml:space="preserve">2017 metais </w:t>
      </w:r>
      <w:r w:rsidR="005028EA" w:rsidRPr="00F621BC">
        <w:rPr>
          <w:rFonts w:eastAsia="Calibri"/>
          <w:szCs w:val="24"/>
        </w:rPr>
        <w:t>budėjo 56 poilsio bei švenčių dienas, ikiteisminio tyrimo teisėjo funkcijas poilsio bei švenčių dienomis atliko du kartus.</w:t>
      </w:r>
    </w:p>
    <w:p w:rsidR="00D333BD" w:rsidRPr="00F621BC" w:rsidRDefault="005028EA" w:rsidP="005028EA">
      <w:pPr>
        <w:tabs>
          <w:tab w:val="left" w:pos="851"/>
        </w:tabs>
        <w:spacing w:line="360" w:lineRule="auto"/>
        <w:ind w:firstLine="851"/>
        <w:jc w:val="both"/>
        <w:rPr>
          <w:szCs w:val="24"/>
        </w:rPr>
      </w:pPr>
      <w:r w:rsidRPr="00F621BC">
        <w:rPr>
          <w:rFonts w:eastAsia="Calibri"/>
          <w:szCs w:val="24"/>
        </w:rPr>
        <w:t xml:space="preserve"> </w:t>
      </w:r>
    </w:p>
    <w:p w:rsidR="005E19F1" w:rsidRPr="00F621BC" w:rsidRDefault="005028EA" w:rsidP="005028EA">
      <w:pPr>
        <w:pStyle w:val="Pavadinimas"/>
        <w:ind w:left="1080"/>
        <w:rPr>
          <w:rFonts w:ascii="Times New Roman" w:hAnsi="Times New Roman"/>
          <w:noProof/>
        </w:rPr>
      </w:pPr>
      <w:bookmarkStart w:id="6" w:name="_Toc475369615"/>
      <w:bookmarkStart w:id="7" w:name="_Toc475608984"/>
      <w:r w:rsidRPr="00F621BC">
        <w:rPr>
          <w:rFonts w:ascii="Times New Roman" w:hAnsi="Times New Roman"/>
        </w:rPr>
        <w:t xml:space="preserve">III. </w:t>
      </w:r>
      <w:r w:rsidR="005E19F1" w:rsidRPr="00F621BC">
        <w:rPr>
          <w:rFonts w:ascii="Times New Roman" w:hAnsi="Times New Roman"/>
        </w:rPr>
        <w:t>Kvalifikacijos kėlimas, mokymai</w:t>
      </w:r>
      <w:bookmarkEnd w:id="6"/>
      <w:bookmarkEnd w:id="7"/>
    </w:p>
    <w:p w:rsidR="00CF3B96" w:rsidRPr="00F621BC" w:rsidRDefault="00A275BC" w:rsidP="00276F2E">
      <w:pPr>
        <w:pStyle w:val="Betarp"/>
      </w:pPr>
      <w:r w:rsidRPr="00F621BC">
        <w:t xml:space="preserve"> </w:t>
      </w:r>
    </w:p>
    <w:p w:rsidR="00276F2E" w:rsidRPr="00F621BC" w:rsidRDefault="00BC016A" w:rsidP="00276F2E">
      <w:pPr>
        <w:spacing w:line="360" w:lineRule="auto"/>
        <w:ind w:firstLine="851"/>
        <w:jc w:val="both"/>
      </w:pPr>
      <w:r w:rsidRPr="00F621BC">
        <w:rPr>
          <w:szCs w:val="24"/>
        </w:rPr>
        <w:t xml:space="preserve">Teisme dirbantiems asmenims </w:t>
      </w:r>
      <w:r w:rsidR="00A275BC" w:rsidRPr="00F621BC">
        <w:rPr>
          <w:szCs w:val="24"/>
        </w:rPr>
        <w:t>keliami aukš</w:t>
      </w:r>
      <w:r w:rsidRPr="00F621BC">
        <w:rPr>
          <w:szCs w:val="24"/>
        </w:rPr>
        <w:t xml:space="preserve">ti kvalifikacijos reikalavimai. </w:t>
      </w:r>
      <w:r w:rsidRPr="00F621BC">
        <w:t xml:space="preserve">Teisėjams ir teisėjų padėjėjams privaloma turėti dviejų pakopų aukštąjį universitetinį ar jam prilygintą teisės krypties išsilavinimą. </w:t>
      </w:r>
      <w:r w:rsidR="00276F2E" w:rsidRPr="00F621BC">
        <w:rPr>
          <w:szCs w:val="24"/>
        </w:rPr>
        <w:t xml:space="preserve">2017 m. </w:t>
      </w:r>
      <w:r w:rsidR="00276F2E" w:rsidRPr="00F621BC">
        <w:t>t</w:t>
      </w:r>
      <w:r w:rsidRPr="00F621BC">
        <w:t>urėti bent vienos pakopos aukštąjį universitetinį išsilavinimą</w:t>
      </w:r>
      <w:r w:rsidR="00276F2E" w:rsidRPr="00F621BC">
        <w:t xml:space="preserve"> buvo privaloma ir dar dviem teismo valstybės tarnautojams.</w:t>
      </w:r>
    </w:p>
    <w:p w:rsidR="00E82BCB" w:rsidRPr="00F621BC" w:rsidRDefault="00E82BCB" w:rsidP="00797CA2">
      <w:pPr>
        <w:spacing w:line="360" w:lineRule="auto"/>
        <w:ind w:firstLine="851"/>
        <w:jc w:val="both"/>
      </w:pPr>
      <w:r w:rsidRPr="00F621BC">
        <w:rPr>
          <w:szCs w:val="24"/>
        </w:rPr>
        <w:t>2017 m. g</w:t>
      </w:r>
      <w:r w:rsidR="00797CA2" w:rsidRPr="00F621BC">
        <w:t>ruodžio 31 d. duomenimis, keturi teisme dirbantys valstybės tarnautojai ir du darbuotojai buvo įgiję vienos arba dviejų pakopų aukštąjį universitetinį ar jam prilygintą išsilavinimą, keturios valstybės tarnautojos</w:t>
      </w:r>
      <w:r w:rsidR="009A7725" w:rsidRPr="00F621BC">
        <w:t xml:space="preserve"> </w:t>
      </w:r>
      <w:r w:rsidR="00797CA2" w:rsidRPr="00F621BC">
        <w:t>– aukštąjį neuniversitetinį išsilavinimą, dvi darbuotojos – aukštesnįjį išsilavinimą, viena darbuotoja – specialųjį vidurinį, įgytą iki 1995 m., išsilavinimą, vienas darbuotojas – vidurinį išsilavinimą.</w:t>
      </w:r>
      <w:r w:rsidR="008B0005" w:rsidRPr="00F621BC">
        <w:t xml:space="preserve"> Teisme dirbančių asmenų (be teisėjų) išsilavinimas parodytas 10 pav.</w:t>
      </w:r>
    </w:p>
    <w:p w:rsidR="00E82BCB" w:rsidRPr="00F621BC" w:rsidRDefault="00E82BCB" w:rsidP="00797CA2">
      <w:pPr>
        <w:spacing w:line="360" w:lineRule="auto"/>
        <w:ind w:firstLine="851"/>
        <w:jc w:val="both"/>
      </w:pPr>
      <w:r w:rsidRPr="00F621BC">
        <w:lastRenderedPageBreak/>
        <w:t xml:space="preserve">Visų teisme dirbančių asmenų įgytas išsilavinimas yra pakankamas </w:t>
      </w:r>
      <w:r w:rsidRPr="00F621BC">
        <w:rPr>
          <w:szCs w:val="24"/>
        </w:rPr>
        <w:t xml:space="preserve">jų pareigoms profesionaliai atlikti. Dauguma teismo </w:t>
      </w:r>
      <w:r w:rsidRPr="00F621BC">
        <w:t>valstybės tarnautojų bei darbuotojų</w:t>
      </w:r>
      <w:r w:rsidRPr="00F621BC">
        <w:rPr>
          <w:szCs w:val="24"/>
        </w:rPr>
        <w:t xml:space="preserve"> </w:t>
      </w:r>
      <w:r w:rsidR="008B0005" w:rsidRPr="00F621BC">
        <w:rPr>
          <w:szCs w:val="24"/>
        </w:rPr>
        <w:t xml:space="preserve">taip pat </w:t>
      </w:r>
      <w:r w:rsidRPr="00F621BC">
        <w:rPr>
          <w:szCs w:val="24"/>
        </w:rPr>
        <w:t>turi didelę darbo teisme patirtį. 2017 m. g</w:t>
      </w:r>
      <w:r w:rsidRPr="00F621BC">
        <w:t>ruodžio 31 d. duomenimis,</w:t>
      </w:r>
      <w:r w:rsidR="008B0005" w:rsidRPr="00F621BC">
        <w:t xml:space="preserve"> šešių </w:t>
      </w:r>
      <w:r w:rsidR="008B0005" w:rsidRPr="00F621BC">
        <w:rPr>
          <w:szCs w:val="24"/>
        </w:rPr>
        <w:t xml:space="preserve">teismo </w:t>
      </w:r>
      <w:r w:rsidR="008B0005" w:rsidRPr="00F621BC">
        <w:t xml:space="preserve">valstybės tarnautojų bei darbuotojų nepertraukiamas darbo teisme stažas viršijo penkerius metus, vieno – dešimt metų, </w:t>
      </w:r>
      <w:r w:rsidRPr="00F621BC">
        <w:t>keturių</w:t>
      </w:r>
      <w:r w:rsidRPr="00F621BC">
        <w:rPr>
          <w:szCs w:val="24"/>
        </w:rPr>
        <w:t xml:space="preserve"> </w:t>
      </w:r>
      <w:r w:rsidR="008B0005" w:rsidRPr="00F621BC">
        <w:rPr>
          <w:szCs w:val="24"/>
        </w:rPr>
        <w:t xml:space="preserve">– </w:t>
      </w:r>
      <w:r w:rsidRPr="00F621BC">
        <w:t>dvidešimt metų.</w:t>
      </w:r>
    </w:p>
    <w:p w:rsidR="00276F2E" w:rsidRPr="00F621BC" w:rsidRDefault="00276F2E" w:rsidP="00276F2E">
      <w:pPr>
        <w:spacing w:line="360" w:lineRule="auto"/>
        <w:ind w:firstLine="851"/>
        <w:jc w:val="both"/>
      </w:pPr>
      <w:r w:rsidRPr="00F621BC">
        <w:rPr>
          <w:noProof/>
          <w:szCs w:val="24"/>
          <w:lang w:eastAsia="lt-LT"/>
        </w:rPr>
        <w:drawing>
          <wp:inline distT="0" distB="0" distL="0" distR="0" wp14:anchorId="306B3150" wp14:editId="1B4FA268">
            <wp:extent cx="5486400" cy="3200400"/>
            <wp:effectExtent l="0" t="0" r="19050" b="19050"/>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B0005" w:rsidRPr="00F621BC" w:rsidRDefault="008B0005" w:rsidP="008B0005">
      <w:pPr>
        <w:tabs>
          <w:tab w:val="left" w:pos="851"/>
        </w:tabs>
        <w:spacing w:line="360" w:lineRule="auto"/>
        <w:ind w:firstLine="851"/>
        <w:jc w:val="center"/>
        <w:rPr>
          <w:i/>
          <w:color w:val="000000"/>
          <w:sz w:val="20"/>
          <w:szCs w:val="24"/>
        </w:rPr>
      </w:pPr>
      <w:r w:rsidRPr="00F621BC">
        <w:rPr>
          <w:i/>
          <w:color w:val="000000"/>
          <w:sz w:val="20"/>
          <w:szCs w:val="24"/>
        </w:rPr>
        <w:t>10 pav.</w:t>
      </w:r>
    </w:p>
    <w:p w:rsidR="002A758B" w:rsidRPr="00F621BC" w:rsidRDefault="002A758B" w:rsidP="007E5C76">
      <w:pPr>
        <w:pStyle w:val="Betarp"/>
      </w:pPr>
    </w:p>
    <w:p w:rsidR="002A758B" w:rsidRPr="00F621BC" w:rsidRDefault="002A758B" w:rsidP="00B828CA">
      <w:pPr>
        <w:spacing w:line="360" w:lineRule="auto"/>
        <w:ind w:firstLine="720"/>
        <w:jc w:val="both"/>
        <w:rPr>
          <w:szCs w:val="24"/>
        </w:rPr>
      </w:pPr>
      <w:r w:rsidRPr="00F621BC">
        <w:rPr>
          <w:szCs w:val="24"/>
        </w:rPr>
        <w:t>2017</w:t>
      </w:r>
      <w:r w:rsidR="00A275BC" w:rsidRPr="00F621BC">
        <w:rPr>
          <w:szCs w:val="24"/>
        </w:rPr>
        <w:t xml:space="preserve"> m. </w:t>
      </w:r>
      <w:r w:rsidRPr="00F621BC">
        <w:rPr>
          <w:szCs w:val="24"/>
        </w:rPr>
        <w:t xml:space="preserve">teisėjai </w:t>
      </w:r>
      <w:r w:rsidR="00A275BC" w:rsidRPr="00F621BC">
        <w:rPr>
          <w:szCs w:val="24"/>
        </w:rPr>
        <w:t>dalyvav</w:t>
      </w:r>
      <w:r w:rsidR="00E02D37" w:rsidRPr="00F621BC">
        <w:rPr>
          <w:szCs w:val="24"/>
        </w:rPr>
        <w:t>o</w:t>
      </w:r>
      <w:r w:rsidRPr="00F621BC">
        <w:rPr>
          <w:szCs w:val="24"/>
        </w:rPr>
        <w:t xml:space="preserve"> mokymuose 17 kartų, teismo </w:t>
      </w:r>
      <w:r w:rsidR="00934CA5" w:rsidRPr="00F621BC">
        <w:rPr>
          <w:szCs w:val="24"/>
        </w:rPr>
        <w:t>valstybės tarnautoj</w:t>
      </w:r>
      <w:r w:rsidR="00934CA5">
        <w:rPr>
          <w:szCs w:val="24"/>
        </w:rPr>
        <w:t>ai ir</w:t>
      </w:r>
      <w:r w:rsidR="00934CA5" w:rsidRPr="00F621BC">
        <w:rPr>
          <w:szCs w:val="24"/>
        </w:rPr>
        <w:t xml:space="preserve"> </w:t>
      </w:r>
      <w:r w:rsidRPr="00F621BC">
        <w:rPr>
          <w:szCs w:val="24"/>
        </w:rPr>
        <w:t>darbuotojai</w:t>
      </w:r>
      <w:r w:rsidR="00C33899" w:rsidRPr="00F621BC">
        <w:rPr>
          <w:szCs w:val="24"/>
        </w:rPr>
        <w:t xml:space="preserve"> mokymuose (įskaitant konsultacijas) dalyvavo</w:t>
      </w:r>
      <w:r w:rsidR="007E5C76" w:rsidRPr="00F621BC">
        <w:rPr>
          <w:szCs w:val="24"/>
        </w:rPr>
        <w:t xml:space="preserve"> </w:t>
      </w:r>
      <w:r w:rsidR="001E5AAC" w:rsidRPr="00F621BC">
        <w:rPr>
          <w:szCs w:val="24"/>
        </w:rPr>
        <w:t>10 kartų.</w:t>
      </w:r>
    </w:p>
    <w:p w:rsidR="002A758B" w:rsidRPr="00F621BC" w:rsidRDefault="002A758B" w:rsidP="002A758B">
      <w:pPr>
        <w:spacing w:line="360" w:lineRule="auto"/>
        <w:ind w:firstLine="720"/>
        <w:jc w:val="both"/>
        <w:rPr>
          <w:szCs w:val="24"/>
        </w:rPr>
      </w:pPr>
      <w:r w:rsidRPr="00F621BC">
        <w:rPr>
          <w:szCs w:val="24"/>
        </w:rPr>
        <w:t>2017 m. teismui, atsižvelgiant į valstybės tarnautojų darbo užmokesčiui skirtus asignavimus, valstybės tarnautojų mokymams skirta 200 eurų,– vienam valstybės tarnautojui teko 25 eurai.</w:t>
      </w:r>
    </w:p>
    <w:p w:rsidR="002A758B" w:rsidRPr="00F621BC" w:rsidRDefault="001E5AAC" w:rsidP="00B828CA">
      <w:pPr>
        <w:spacing w:line="360" w:lineRule="auto"/>
        <w:ind w:firstLine="720"/>
        <w:jc w:val="both"/>
        <w:rPr>
          <w:szCs w:val="24"/>
        </w:rPr>
      </w:pPr>
      <w:r w:rsidRPr="00F621BC">
        <w:rPr>
          <w:szCs w:val="24"/>
        </w:rPr>
        <w:t xml:space="preserve">Teisėjų mokymai vyko </w:t>
      </w:r>
      <w:r w:rsidR="00355461" w:rsidRPr="00F621BC">
        <w:rPr>
          <w:szCs w:val="24"/>
        </w:rPr>
        <w:t>171 akademinę valandą, t. y. po 57 akademines valandas vienam teisėjui. Teismo personalo mokymų trukmė – 67 akademinės valandos, t. y. po 4,8 akademinės valandos vienam teismo valstybės tarnautojui ar darbuotojui.</w:t>
      </w:r>
    </w:p>
    <w:p w:rsidR="000A7F34" w:rsidRPr="00F621BC" w:rsidRDefault="000A7F34" w:rsidP="000A7F34">
      <w:pPr>
        <w:spacing w:line="360" w:lineRule="auto"/>
        <w:ind w:firstLine="720"/>
        <w:jc w:val="both"/>
        <w:rPr>
          <w:szCs w:val="24"/>
        </w:rPr>
      </w:pPr>
      <w:r w:rsidRPr="00F621BC">
        <w:rPr>
          <w:szCs w:val="24"/>
        </w:rPr>
        <w:t>2017 m. t</w:t>
      </w:r>
      <w:r w:rsidR="00B828CA" w:rsidRPr="00F621BC">
        <w:rPr>
          <w:szCs w:val="24"/>
        </w:rPr>
        <w:t xml:space="preserve">eismo </w:t>
      </w:r>
      <w:r w:rsidR="00355461" w:rsidRPr="00F621BC">
        <w:rPr>
          <w:szCs w:val="24"/>
        </w:rPr>
        <w:t xml:space="preserve">valstybės tarnautojai bei </w:t>
      </w:r>
      <w:r w:rsidR="00B828CA" w:rsidRPr="00F621BC">
        <w:rPr>
          <w:szCs w:val="24"/>
        </w:rPr>
        <w:t>darbuotojai dalyvavo mokymuose pagal šias mokymo rūšis:</w:t>
      </w:r>
    </w:p>
    <w:p w:rsidR="00B828CA" w:rsidRPr="00F621BC" w:rsidRDefault="00B828CA" w:rsidP="000A7F34">
      <w:pPr>
        <w:pStyle w:val="Sraopastraipa"/>
        <w:numPr>
          <w:ilvl w:val="0"/>
          <w:numId w:val="12"/>
        </w:numPr>
        <w:spacing w:line="360" w:lineRule="auto"/>
        <w:jc w:val="both"/>
        <w:rPr>
          <w:szCs w:val="24"/>
        </w:rPr>
      </w:pPr>
      <w:r w:rsidRPr="00F621BC">
        <w:rPr>
          <w:szCs w:val="24"/>
        </w:rPr>
        <w:t>valstybės tarnautojų ir darbuotojų specialiųjų ir profesinių gebėjimų, reikalingų konkrečioms pareigybės aprašyme nustatytoms funkcijoms vykdyti, tobulinimas;</w:t>
      </w:r>
    </w:p>
    <w:p w:rsidR="00B828CA" w:rsidRPr="00F621BC" w:rsidRDefault="00B828CA" w:rsidP="000A7F34">
      <w:pPr>
        <w:pStyle w:val="Sraopastraipa"/>
        <w:numPr>
          <w:ilvl w:val="0"/>
          <w:numId w:val="12"/>
        </w:numPr>
        <w:spacing w:line="360" w:lineRule="auto"/>
        <w:jc w:val="both"/>
        <w:rPr>
          <w:szCs w:val="24"/>
        </w:rPr>
      </w:pPr>
      <w:r w:rsidRPr="00F621BC">
        <w:rPr>
          <w:szCs w:val="24"/>
        </w:rPr>
        <w:t xml:space="preserve">valstybės tarnautojų, teikiančių paslaugas gyventojams, orientavimosi į klientą </w:t>
      </w:r>
      <w:r w:rsidR="000A7F34" w:rsidRPr="00F621BC">
        <w:rPr>
          <w:szCs w:val="24"/>
        </w:rPr>
        <w:t>gebėjimų ir įgūdžių tobulinimas.</w:t>
      </w:r>
    </w:p>
    <w:p w:rsidR="00A275BC" w:rsidRPr="00F621BC" w:rsidRDefault="000A7F34" w:rsidP="00C67D84">
      <w:pPr>
        <w:spacing w:line="360" w:lineRule="auto"/>
        <w:ind w:firstLine="720"/>
        <w:jc w:val="both"/>
        <w:rPr>
          <w:szCs w:val="24"/>
        </w:rPr>
      </w:pPr>
      <w:r w:rsidRPr="00F621BC">
        <w:rPr>
          <w:szCs w:val="24"/>
        </w:rPr>
        <w:t xml:space="preserve">Teismo 2017–2019-ųjų metų strateginiame veiklos plane </w:t>
      </w:r>
      <w:r w:rsidR="00C67D84" w:rsidRPr="00F621BC">
        <w:rPr>
          <w:szCs w:val="24"/>
        </w:rPr>
        <w:t>2017</w:t>
      </w:r>
      <w:r w:rsidR="0099699E" w:rsidRPr="00F621BC">
        <w:rPr>
          <w:szCs w:val="24"/>
        </w:rPr>
        <w:t xml:space="preserve"> meta</w:t>
      </w:r>
      <w:r w:rsidR="00C67D84" w:rsidRPr="00F621BC">
        <w:rPr>
          <w:szCs w:val="24"/>
        </w:rPr>
        <w:t xml:space="preserve">ms buvo planuota 8 </w:t>
      </w:r>
      <w:r w:rsidR="0099699E" w:rsidRPr="00F621BC">
        <w:rPr>
          <w:szCs w:val="24"/>
        </w:rPr>
        <w:t xml:space="preserve">akademinių valandų mokymų trukmė </w:t>
      </w:r>
      <w:r w:rsidR="00C67D84" w:rsidRPr="00F621BC">
        <w:rPr>
          <w:szCs w:val="24"/>
        </w:rPr>
        <w:t xml:space="preserve">vienam teismo valstybės tarnautojui ar darbuotojui </w:t>
      </w:r>
      <w:r w:rsidR="0099699E" w:rsidRPr="00F621BC">
        <w:rPr>
          <w:szCs w:val="24"/>
        </w:rPr>
        <w:t>ir</w:t>
      </w:r>
      <w:r w:rsidR="00A275BC" w:rsidRPr="00F621BC">
        <w:rPr>
          <w:szCs w:val="24"/>
        </w:rPr>
        <w:t xml:space="preserve"> </w:t>
      </w:r>
      <w:r w:rsidR="00C67D84" w:rsidRPr="00F621BC">
        <w:rPr>
          <w:szCs w:val="24"/>
        </w:rPr>
        <w:t>16</w:t>
      </w:r>
      <w:r w:rsidR="0099699E" w:rsidRPr="00F621BC">
        <w:rPr>
          <w:szCs w:val="24"/>
        </w:rPr>
        <w:t xml:space="preserve"> akademinių valandų </w:t>
      </w:r>
      <w:r w:rsidR="00C67D84" w:rsidRPr="00F621BC">
        <w:rPr>
          <w:szCs w:val="24"/>
        </w:rPr>
        <w:t xml:space="preserve">mokymų trukmė vienam teismo </w:t>
      </w:r>
      <w:r w:rsidR="00A275BC" w:rsidRPr="00F621BC">
        <w:rPr>
          <w:szCs w:val="24"/>
        </w:rPr>
        <w:t>teisėjui</w:t>
      </w:r>
      <w:r w:rsidR="0099699E" w:rsidRPr="00F621BC">
        <w:rPr>
          <w:szCs w:val="24"/>
        </w:rPr>
        <w:t>.</w:t>
      </w:r>
      <w:r w:rsidR="00A275BC" w:rsidRPr="00F621BC">
        <w:rPr>
          <w:szCs w:val="24"/>
        </w:rPr>
        <w:t xml:space="preserve"> </w:t>
      </w:r>
    </w:p>
    <w:p w:rsidR="00A275BC" w:rsidRPr="00F621BC" w:rsidRDefault="0010730E" w:rsidP="00A275BC">
      <w:pPr>
        <w:pStyle w:val="Sraopastraipa"/>
        <w:spacing w:line="360" w:lineRule="auto"/>
        <w:ind w:left="0" w:firstLine="720"/>
        <w:jc w:val="both"/>
        <w:rPr>
          <w:szCs w:val="24"/>
        </w:rPr>
      </w:pPr>
      <w:r w:rsidRPr="00F621BC">
        <w:rPr>
          <w:noProof/>
          <w:szCs w:val="24"/>
          <w:lang w:eastAsia="lt-LT"/>
        </w:rPr>
        <w:lastRenderedPageBreak/>
        <w:drawing>
          <wp:inline distT="0" distB="0" distL="0" distR="0" wp14:anchorId="5916292D" wp14:editId="4236826F">
            <wp:extent cx="4879340" cy="2379345"/>
            <wp:effectExtent l="0" t="0" r="0" b="0"/>
            <wp:docPr id="10" name="Objektas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67D84" w:rsidRPr="00F621BC" w:rsidRDefault="00C0482A" w:rsidP="00C67D84">
      <w:pPr>
        <w:tabs>
          <w:tab w:val="left" w:pos="851"/>
        </w:tabs>
        <w:spacing w:line="360" w:lineRule="auto"/>
        <w:ind w:firstLine="851"/>
        <w:jc w:val="center"/>
        <w:rPr>
          <w:i/>
          <w:color w:val="000000"/>
          <w:sz w:val="20"/>
          <w:szCs w:val="24"/>
        </w:rPr>
      </w:pPr>
      <w:r w:rsidRPr="00F621BC">
        <w:rPr>
          <w:i/>
          <w:color w:val="000000"/>
          <w:sz w:val="20"/>
          <w:szCs w:val="24"/>
        </w:rPr>
        <w:t>11</w:t>
      </w:r>
      <w:r w:rsidR="00C67D84" w:rsidRPr="00F621BC">
        <w:rPr>
          <w:i/>
          <w:color w:val="000000"/>
          <w:sz w:val="20"/>
          <w:szCs w:val="24"/>
        </w:rPr>
        <w:t xml:space="preserve"> pav.</w:t>
      </w:r>
    </w:p>
    <w:p w:rsidR="00B948B4" w:rsidRDefault="00B948B4" w:rsidP="00BC7A7D">
      <w:pPr>
        <w:shd w:val="clear" w:color="auto" w:fill="FFFFFF"/>
        <w:spacing w:line="413" w:lineRule="exact"/>
        <w:ind w:left="10" w:firstLine="648"/>
        <w:jc w:val="both"/>
        <w:rPr>
          <w:szCs w:val="24"/>
        </w:rPr>
      </w:pPr>
    </w:p>
    <w:p w:rsidR="00C0482A" w:rsidRPr="00F621BC" w:rsidRDefault="00964EC8" w:rsidP="00BC7A7D">
      <w:pPr>
        <w:shd w:val="clear" w:color="auto" w:fill="FFFFFF"/>
        <w:spacing w:line="413" w:lineRule="exact"/>
        <w:ind w:left="10" w:firstLine="648"/>
        <w:jc w:val="both"/>
        <w:rPr>
          <w:szCs w:val="24"/>
        </w:rPr>
      </w:pPr>
      <w:r w:rsidRPr="00F621BC">
        <w:rPr>
          <w:szCs w:val="24"/>
        </w:rPr>
        <w:t xml:space="preserve">Pažymėtina, kad visus mokymus teismo personalui nemokamai surengė Nacionalinė teismų administracija </w:t>
      </w:r>
      <w:r w:rsidR="00805025" w:rsidRPr="00F621BC">
        <w:rPr>
          <w:szCs w:val="24"/>
        </w:rPr>
        <w:t>bei</w:t>
      </w:r>
      <w:r w:rsidRPr="00F621BC">
        <w:rPr>
          <w:szCs w:val="24"/>
        </w:rPr>
        <w:t xml:space="preserve"> kitos valstybės institucijos</w:t>
      </w:r>
      <w:r w:rsidR="00805025" w:rsidRPr="00F621BC">
        <w:rPr>
          <w:szCs w:val="24"/>
        </w:rPr>
        <w:t>, teismui skirtos biudžeto lėšos 2017 m. personalo mokymams nebuvo naudojamos.</w:t>
      </w:r>
    </w:p>
    <w:p w:rsidR="008555E3" w:rsidRPr="00F621BC" w:rsidRDefault="008555E3" w:rsidP="00BC7A7D">
      <w:pPr>
        <w:shd w:val="clear" w:color="auto" w:fill="FFFFFF"/>
        <w:spacing w:line="413" w:lineRule="exact"/>
        <w:ind w:left="10" w:firstLine="648"/>
        <w:jc w:val="both"/>
        <w:rPr>
          <w:szCs w:val="24"/>
        </w:rPr>
      </w:pPr>
    </w:p>
    <w:p w:rsidR="00B948B4" w:rsidRDefault="00B948B4" w:rsidP="00292D6C">
      <w:pPr>
        <w:spacing w:line="360" w:lineRule="auto"/>
        <w:jc w:val="center"/>
        <w:rPr>
          <w:b/>
        </w:rPr>
      </w:pPr>
    </w:p>
    <w:p w:rsidR="00292D6C" w:rsidRDefault="00292D6C" w:rsidP="00292D6C">
      <w:pPr>
        <w:spacing w:line="360" w:lineRule="auto"/>
        <w:jc w:val="center"/>
        <w:rPr>
          <w:b/>
        </w:rPr>
      </w:pPr>
      <w:r>
        <w:rPr>
          <w:b/>
        </w:rPr>
        <w:t>IV. FINANSINĖ VEIKLA</w:t>
      </w:r>
    </w:p>
    <w:p w:rsidR="00292D6C" w:rsidRDefault="00292D6C" w:rsidP="00292D6C">
      <w:pPr>
        <w:spacing w:line="360" w:lineRule="auto"/>
        <w:jc w:val="center"/>
        <w:rPr>
          <w:b/>
        </w:rPr>
      </w:pPr>
    </w:p>
    <w:p w:rsidR="00292D6C" w:rsidRDefault="00292D6C" w:rsidP="00292D6C">
      <w:pPr>
        <w:spacing w:line="360" w:lineRule="auto"/>
        <w:ind w:firstLine="720"/>
        <w:jc w:val="both"/>
      </w:pPr>
      <w:r>
        <w:t xml:space="preserve">Kupiškio rajono apylinkės teismas yra Valstybės biudžetinė įstaiga. 2017 m. teismas vykdė programą </w:t>
      </w:r>
      <w:r w:rsidR="00B948B4">
        <w:t>„</w:t>
      </w:r>
      <w:r>
        <w:t xml:space="preserve">Teisingumo vykdymas”. </w:t>
      </w:r>
      <w:r>
        <w:rPr>
          <w:lang w:eastAsia="en-GB"/>
        </w:rPr>
        <w:t xml:space="preserve">Pagal šią programą įgyvendinamas teismo strateginis tikslas – Teisingumo vykdymas. </w:t>
      </w:r>
      <w:r>
        <w:t>Teismo vykdoma programa „Teisingumo vykdymas“ finansuojama iš Valstybės biudžeto lėšų.</w:t>
      </w:r>
    </w:p>
    <w:p w:rsidR="00292D6C" w:rsidRDefault="00292D6C" w:rsidP="00B948B4">
      <w:pPr>
        <w:spacing w:line="360" w:lineRule="auto"/>
        <w:ind w:firstLine="720"/>
        <w:jc w:val="both"/>
      </w:pPr>
      <w:r>
        <w:t xml:space="preserve">2017 metais teismas nevykdė specialiosios programos. Per ataskaitinį laikotarpį teismas gavo pajamų už suteiktas paslaugas (dokumentų kopijas) 45,14 Eur, kurios pervestos į valstybės iždo sąskaitą. </w:t>
      </w:r>
    </w:p>
    <w:p w:rsidR="00292D6C" w:rsidRDefault="00292D6C" w:rsidP="00292D6C">
      <w:pPr>
        <w:widowControl w:val="0"/>
        <w:overflowPunct w:val="0"/>
        <w:autoSpaceDE w:val="0"/>
        <w:autoSpaceDN w:val="0"/>
        <w:adjustRightInd w:val="0"/>
        <w:spacing w:line="360" w:lineRule="auto"/>
        <w:ind w:firstLine="720"/>
        <w:jc w:val="both"/>
        <w:textAlignment w:val="baseline"/>
      </w:pPr>
      <w:r>
        <w:t xml:space="preserve">„Teisingumo vykdymas” programai finansuoti 2017 metų sąmatoje, įskaitant patikslinimus numatyti 272095,00 Eur asignavimų, iš jų 190838,00 Eur darbo užmokesčiui. </w:t>
      </w:r>
    </w:p>
    <w:p w:rsidR="00B948B4" w:rsidRDefault="00B948B4" w:rsidP="00292D6C">
      <w:pPr>
        <w:widowControl w:val="0"/>
        <w:overflowPunct w:val="0"/>
        <w:autoSpaceDE w:val="0"/>
        <w:autoSpaceDN w:val="0"/>
        <w:adjustRightInd w:val="0"/>
        <w:spacing w:line="360" w:lineRule="auto"/>
        <w:ind w:firstLine="720"/>
        <w:jc w:val="both"/>
        <w:textAlignment w:val="baseline"/>
      </w:pPr>
    </w:p>
    <w:p w:rsidR="00B948B4" w:rsidRDefault="00B948B4" w:rsidP="00292D6C">
      <w:pPr>
        <w:widowControl w:val="0"/>
        <w:overflowPunct w:val="0"/>
        <w:autoSpaceDE w:val="0"/>
        <w:autoSpaceDN w:val="0"/>
        <w:adjustRightInd w:val="0"/>
        <w:spacing w:line="360" w:lineRule="auto"/>
        <w:ind w:firstLine="720"/>
        <w:jc w:val="both"/>
        <w:textAlignment w:val="baseline"/>
      </w:pPr>
    </w:p>
    <w:p w:rsidR="00B948B4" w:rsidRDefault="00B948B4" w:rsidP="00292D6C">
      <w:pPr>
        <w:widowControl w:val="0"/>
        <w:overflowPunct w:val="0"/>
        <w:autoSpaceDE w:val="0"/>
        <w:autoSpaceDN w:val="0"/>
        <w:adjustRightInd w:val="0"/>
        <w:spacing w:line="360" w:lineRule="auto"/>
        <w:ind w:firstLine="720"/>
        <w:jc w:val="both"/>
        <w:textAlignment w:val="baseline"/>
      </w:pPr>
    </w:p>
    <w:p w:rsidR="00B948B4" w:rsidRDefault="00B948B4" w:rsidP="00292D6C">
      <w:pPr>
        <w:widowControl w:val="0"/>
        <w:overflowPunct w:val="0"/>
        <w:autoSpaceDE w:val="0"/>
        <w:autoSpaceDN w:val="0"/>
        <w:adjustRightInd w:val="0"/>
        <w:spacing w:line="360" w:lineRule="auto"/>
        <w:ind w:firstLine="720"/>
        <w:jc w:val="both"/>
        <w:textAlignment w:val="baseline"/>
      </w:pPr>
    </w:p>
    <w:p w:rsidR="00B948B4" w:rsidRDefault="00B948B4" w:rsidP="00292D6C">
      <w:pPr>
        <w:widowControl w:val="0"/>
        <w:overflowPunct w:val="0"/>
        <w:autoSpaceDE w:val="0"/>
        <w:autoSpaceDN w:val="0"/>
        <w:adjustRightInd w:val="0"/>
        <w:spacing w:line="360" w:lineRule="auto"/>
        <w:ind w:firstLine="720"/>
        <w:jc w:val="both"/>
        <w:textAlignment w:val="baseline"/>
      </w:pPr>
    </w:p>
    <w:p w:rsidR="00B948B4" w:rsidRDefault="00B948B4" w:rsidP="00292D6C">
      <w:pPr>
        <w:widowControl w:val="0"/>
        <w:overflowPunct w:val="0"/>
        <w:autoSpaceDE w:val="0"/>
        <w:autoSpaceDN w:val="0"/>
        <w:adjustRightInd w:val="0"/>
        <w:spacing w:line="360" w:lineRule="auto"/>
        <w:ind w:firstLine="720"/>
        <w:jc w:val="both"/>
        <w:textAlignment w:val="baseline"/>
      </w:pPr>
    </w:p>
    <w:p w:rsidR="00B948B4" w:rsidRDefault="00B948B4" w:rsidP="00292D6C">
      <w:pPr>
        <w:widowControl w:val="0"/>
        <w:overflowPunct w:val="0"/>
        <w:autoSpaceDE w:val="0"/>
        <w:autoSpaceDN w:val="0"/>
        <w:adjustRightInd w:val="0"/>
        <w:spacing w:line="360" w:lineRule="auto"/>
        <w:ind w:firstLine="720"/>
        <w:jc w:val="both"/>
        <w:textAlignment w:val="baseline"/>
      </w:pPr>
    </w:p>
    <w:p w:rsidR="00B948B4" w:rsidRDefault="00B948B4" w:rsidP="00292D6C">
      <w:pPr>
        <w:widowControl w:val="0"/>
        <w:overflowPunct w:val="0"/>
        <w:autoSpaceDE w:val="0"/>
        <w:autoSpaceDN w:val="0"/>
        <w:adjustRightInd w:val="0"/>
        <w:spacing w:line="360" w:lineRule="auto"/>
        <w:ind w:firstLine="720"/>
        <w:jc w:val="both"/>
        <w:textAlignment w:val="baseline"/>
      </w:pPr>
    </w:p>
    <w:p w:rsidR="00B948B4" w:rsidRDefault="00292D6C" w:rsidP="00292D6C">
      <w:pPr>
        <w:widowControl w:val="0"/>
        <w:overflowPunct w:val="0"/>
        <w:autoSpaceDE w:val="0"/>
        <w:autoSpaceDN w:val="0"/>
        <w:adjustRightInd w:val="0"/>
        <w:spacing w:line="360" w:lineRule="auto"/>
        <w:ind w:firstLine="720"/>
        <w:jc w:val="both"/>
        <w:textAlignment w:val="baseline"/>
      </w:pPr>
      <w:r>
        <w:lastRenderedPageBreak/>
        <w:t>2017 m. programos biudžeto lėšų sąmatos struktūra (Eur) :</w:t>
      </w:r>
    </w:p>
    <w:p w:rsidR="00292D6C" w:rsidRDefault="00292D6C" w:rsidP="00292D6C">
      <w:pPr>
        <w:widowControl w:val="0"/>
        <w:overflowPunct w:val="0"/>
        <w:autoSpaceDE w:val="0"/>
        <w:autoSpaceDN w:val="0"/>
        <w:adjustRightInd w:val="0"/>
        <w:spacing w:line="360" w:lineRule="auto"/>
        <w:ind w:firstLine="720"/>
        <w:jc w:val="both"/>
        <w:textAlignment w:val="baseline"/>
      </w:pPr>
      <w:r>
        <w:rPr>
          <w:noProof/>
        </w:rPr>
        <w:drawing>
          <wp:inline distT="0" distB="0" distL="0" distR="0">
            <wp:extent cx="5610225" cy="3171825"/>
            <wp:effectExtent l="0" t="0" r="0" b="0"/>
            <wp:docPr id="4" name="Diagrama 4">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92D6C" w:rsidRDefault="00292D6C" w:rsidP="00292D6C">
      <w:pPr>
        <w:pStyle w:val="Pagrindiniotekstotrauka"/>
        <w:spacing w:line="360" w:lineRule="auto"/>
        <w:ind w:firstLine="709"/>
      </w:pPr>
    </w:p>
    <w:p w:rsidR="00292D6C" w:rsidRDefault="00292D6C" w:rsidP="00B948B4">
      <w:pPr>
        <w:spacing w:line="360" w:lineRule="auto"/>
        <w:ind w:firstLine="720"/>
        <w:jc w:val="both"/>
      </w:pPr>
      <w:r>
        <w:t>Išlaidų prekėms ir paslaugoms paskirstymo tarp ekonominės klasifikacijos struktūra (Eur) :</w:t>
      </w:r>
    </w:p>
    <w:p w:rsidR="00292D6C" w:rsidRDefault="00292D6C" w:rsidP="00292D6C">
      <w:pPr>
        <w:pStyle w:val="Pagrindiniotekstotrauka"/>
        <w:spacing w:line="360" w:lineRule="auto"/>
        <w:jc w:val="center"/>
      </w:pPr>
    </w:p>
    <w:p w:rsidR="00292D6C" w:rsidRDefault="00292D6C" w:rsidP="00292D6C">
      <w:pPr>
        <w:pStyle w:val="Pagrindiniotekstotrauka"/>
        <w:spacing w:line="360" w:lineRule="auto"/>
      </w:pPr>
      <w:r>
        <w:rPr>
          <w:noProof/>
          <w:lang w:eastAsia="lt-LT"/>
        </w:rPr>
        <w:drawing>
          <wp:inline distT="0" distB="0" distL="0" distR="0">
            <wp:extent cx="6124575" cy="3933825"/>
            <wp:effectExtent l="0" t="0" r="0" b="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92D6C" w:rsidRDefault="00292D6C" w:rsidP="00292D6C">
      <w:pPr>
        <w:pStyle w:val="Pagrindinistekstas"/>
        <w:spacing w:line="360" w:lineRule="auto"/>
        <w:ind w:firstLine="720"/>
      </w:pPr>
    </w:p>
    <w:p w:rsidR="00B948B4" w:rsidRDefault="00B948B4" w:rsidP="00292D6C">
      <w:pPr>
        <w:pStyle w:val="Pagrindinistekstas"/>
        <w:spacing w:line="360" w:lineRule="auto"/>
        <w:ind w:firstLine="720"/>
      </w:pPr>
    </w:p>
    <w:p w:rsidR="00B948B4" w:rsidRDefault="00B948B4" w:rsidP="00292D6C">
      <w:pPr>
        <w:pStyle w:val="Pagrindinistekstas"/>
        <w:spacing w:line="360" w:lineRule="auto"/>
        <w:ind w:firstLine="720"/>
      </w:pPr>
    </w:p>
    <w:p w:rsidR="00292D6C" w:rsidRDefault="00292D6C" w:rsidP="00292D6C">
      <w:pPr>
        <w:pStyle w:val="Pagrindinistekstas"/>
        <w:spacing w:line="360" w:lineRule="auto"/>
        <w:ind w:firstLine="720"/>
        <w:rPr>
          <w:rFonts w:eastAsia="Calibri"/>
          <w:lang w:eastAsia="lt-LT"/>
        </w:rPr>
      </w:pPr>
      <w:r>
        <w:lastRenderedPageBreak/>
        <w:t xml:space="preserve">2017 metais panaudota iš viso 272095,00 Eur, iš jų 190838,00 Eur darbo užmokesčiui. </w:t>
      </w:r>
      <w:r>
        <w:rPr>
          <w:rFonts w:eastAsia="Calibri"/>
          <w:lang w:eastAsia="lt-LT"/>
        </w:rPr>
        <w:t xml:space="preserve">Programai </w:t>
      </w:r>
      <w:r>
        <w:rPr>
          <w:rFonts w:ascii="TimesNewRoman" w:eastAsia="TimesNewRoman" w:cs="TimesNewRoman"/>
          <w:lang w:eastAsia="lt-LT"/>
        </w:rPr>
        <w:t>į</w:t>
      </w:r>
      <w:r>
        <w:rPr>
          <w:rFonts w:eastAsia="Calibri"/>
          <w:lang w:eastAsia="lt-LT"/>
        </w:rPr>
        <w:t>gyvendinti skirti asignavimai:</w:t>
      </w:r>
    </w:p>
    <w:p w:rsidR="00292D6C" w:rsidRDefault="00292D6C" w:rsidP="00292D6C">
      <w:pPr>
        <w:pStyle w:val="Pagrindinistekstas"/>
        <w:spacing w:line="360" w:lineRule="auto"/>
        <w:ind w:firstLine="720"/>
        <w:rPr>
          <w:rFonts w:eastAsia="Calibri"/>
          <w:lang w:eastAsia="lt-LT"/>
        </w:rPr>
      </w:pPr>
    </w:p>
    <w:p w:rsidR="00292D6C" w:rsidRDefault="00292D6C" w:rsidP="00292D6C">
      <w:pPr>
        <w:jc w:val="center"/>
        <w:rPr>
          <w:b/>
          <w:sz w:val="22"/>
        </w:rPr>
      </w:pPr>
      <w:r>
        <w:rPr>
          <w:b/>
          <w:sz w:val="22"/>
        </w:rPr>
        <w:t>2017 M. VYKDYTOS PROGRAMOS</w:t>
      </w:r>
    </w:p>
    <w:p w:rsidR="00292D6C" w:rsidRDefault="00292D6C" w:rsidP="00292D6C">
      <w:pPr>
        <w:jc w:val="center"/>
        <w:rPr>
          <w:b/>
          <w:sz w:val="22"/>
        </w:rPr>
      </w:pPr>
      <w:r>
        <w:rPr>
          <w:b/>
          <w:sz w:val="22"/>
        </w:rPr>
        <w:t>PATVIRTINTŲ IR PANAUDOTŲ ASIGNAVIMŲ SUVESTINĖ</w:t>
      </w:r>
    </w:p>
    <w:p w:rsidR="00292D6C" w:rsidRDefault="00292D6C" w:rsidP="00292D6C">
      <w:pPr>
        <w:jc w:val="center"/>
        <w:rPr>
          <w:b/>
          <w:sz w:val="22"/>
        </w:rPr>
      </w:pPr>
    </w:p>
    <w:p w:rsidR="00292D6C" w:rsidRDefault="00292D6C" w:rsidP="00292D6C">
      <w:pPr>
        <w:pStyle w:val="Pagrindinistekstas"/>
        <w:rPr>
          <w:sz w:val="24"/>
          <w:szCs w:val="24"/>
        </w:rPr>
      </w:pPr>
      <w:r>
        <w:tab/>
      </w:r>
      <w:r>
        <w:tab/>
      </w:r>
      <w:r>
        <w:tab/>
      </w:r>
      <w:r>
        <w:tab/>
      </w:r>
      <w:r>
        <w:tab/>
      </w:r>
      <w:r>
        <w:tab/>
        <w:t xml:space="preserve"> (</w:t>
      </w:r>
      <w:r>
        <w:rPr>
          <w:sz w:val="20"/>
        </w:rPr>
        <w:t>Sumos Eur</w:t>
      </w:r>
      <w:r>
        <w:t>)</w:t>
      </w:r>
    </w:p>
    <w:tbl>
      <w:tblPr>
        <w:tblW w:w="9512" w:type="dxa"/>
        <w:tblInd w:w="93" w:type="dxa"/>
        <w:tblLook w:val="04A0" w:firstRow="1" w:lastRow="0" w:firstColumn="1" w:lastColumn="0" w:noHBand="0" w:noVBand="1"/>
      </w:tblPr>
      <w:tblGrid>
        <w:gridCol w:w="1008"/>
        <w:gridCol w:w="3402"/>
        <w:gridCol w:w="1559"/>
        <w:gridCol w:w="1236"/>
        <w:gridCol w:w="1315"/>
        <w:gridCol w:w="992"/>
      </w:tblGrid>
      <w:tr w:rsidR="00292D6C" w:rsidTr="00292D6C">
        <w:trPr>
          <w:trHeight w:val="1100"/>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292D6C" w:rsidRDefault="00292D6C">
            <w:pPr>
              <w:ind w:firstLine="425"/>
              <w:jc w:val="center"/>
              <w:rPr>
                <w:b/>
                <w:sz w:val="16"/>
              </w:rPr>
            </w:pPr>
            <w:r>
              <w:rPr>
                <w:b/>
                <w:sz w:val="16"/>
              </w:rPr>
              <w:t xml:space="preserve">Programos </w:t>
            </w:r>
          </w:p>
          <w:p w:rsidR="00292D6C" w:rsidRDefault="00292D6C">
            <w:pPr>
              <w:ind w:firstLine="425"/>
              <w:jc w:val="center"/>
              <w:rPr>
                <w:b/>
                <w:sz w:val="16"/>
              </w:rPr>
            </w:pPr>
            <w:r>
              <w:rPr>
                <w:b/>
                <w:sz w:val="16"/>
              </w:rPr>
              <w:t>kodas</w:t>
            </w:r>
          </w:p>
        </w:tc>
        <w:tc>
          <w:tcPr>
            <w:tcW w:w="3402" w:type="dxa"/>
            <w:tcBorders>
              <w:top w:val="single" w:sz="4" w:space="0" w:color="auto"/>
              <w:left w:val="nil"/>
              <w:bottom w:val="nil"/>
              <w:right w:val="nil"/>
            </w:tcBorders>
            <w:noWrap/>
            <w:vAlign w:val="center"/>
            <w:hideMark/>
          </w:tcPr>
          <w:p w:rsidR="00292D6C" w:rsidRDefault="00292D6C">
            <w:pPr>
              <w:ind w:firstLine="425"/>
              <w:jc w:val="center"/>
              <w:rPr>
                <w:b/>
                <w:sz w:val="16"/>
              </w:rPr>
            </w:pPr>
            <w:r>
              <w:rPr>
                <w:b/>
                <w:sz w:val="16"/>
              </w:rPr>
              <w:t>Programos pavadinimas</w:t>
            </w:r>
          </w:p>
        </w:tc>
        <w:tc>
          <w:tcPr>
            <w:tcW w:w="1559" w:type="dxa"/>
            <w:tcBorders>
              <w:top w:val="single" w:sz="4" w:space="0" w:color="auto"/>
              <w:left w:val="single" w:sz="4" w:space="0" w:color="auto"/>
              <w:bottom w:val="nil"/>
              <w:right w:val="nil"/>
            </w:tcBorders>
            <w:noWrap/>
            <w:vAlign w:val="center"/>
            <w:hideMark/>
          </w:tcPr>
          <w:p w:rsidR="00292D6C" w:rsidRDefault="00292D6C">
            <w:pPr>
              <w:ind w:firstLine="425"/>
              <w:jc w:val="center"/>
              <w:rPr>
                <w:b/>
                <w:sz w:val="16"/>
              </w:rPr>
            </w:pPr>
            <w:r>
              <w:rPr>
                <w:b/>
                <w:sz w:val="16"/>
              </w:rPr>
              <w:t>Asignavimų planas</w:t>
            </w:r>
          </w:p>
          <w:p w:rsidR="00292D6C" w:rsidRDefault="00292D6C">
            <w:pPr>
              <w:ind w:firstLine="425"/>
              <w:jc w:val="center"/>
              <w:rPr>
                <w:b/>
                <w:sz w:val="16"/>
              </w:rPr>
            </w:pPr>
            <w:r>
              <w:rPr>
                <w:b/>
                <w:sz w:val="16"/>
              </w:rPr>
              <w:t>ataskaitiniam laikotarpiui, įskaitant</w:t>
            </w:r>
          </w:p>
          <w:p w:rsidR="00292D6C" w:rsidRDefault="00292D6C">
            <w:pPr>
              <w:ind w:firstLine="425"/>
              <w:jc w:val="center"/>
              <w:rPr>
                <w:b/>
                <w:sz w:val="16"/>
              </w:rPr>
            </w:pPr>
            <w:r>
              <w:rPr>
                <w:b/>
                <w:sz w:val="16"/>
              </w:rPr>
              <w:t>patikslinimus</w:t>
            </w:r>
          </w:p>
        </w:tc>
        <w:tc>
          <w:tcPr>
            <w:tcW w:w="1236" w:type="dxa"/>
            <w:tcBorders>
              <w:top w:val="single" w:sz="4" w:space="0" w:color="auto"/>
              <w:left w:val="single" w:sz="4" w:space="0" w:color="auto"/>
              <w:bottom w:val="nil"/>
              <w:right w:val="nil"/>
            </w:tcBorders>
            <w:noWrap/>
            <w:vAlign w:val="center"/>
            <w:hideMark/>
          </w:tcPr>
          <w:p w:rsidR="00292D6C" w:rsidRDefault="00292D6C">
            <w:pPr>
              <w:ind w:firstLine="425"/>
              <w:jc w:val="center"/>
              <w:rPr>
                <w:b/>
                <w:sz w:val="16"/>
              </w:rPr>
            </w:pPr>
            <w:r>
              <w:rPr>
                <w:b/>
                <w:sz w:val="16"/>
              </w:rPr>
              <w:t>Panaudoti asignavimai</w:t>
            </w:r>
          </w:p>
        </w:tc>
        <w:tc>
          <w:tcPr>
            <w:tcW w:w="1315" w:type="dxa"/>
            <w:tcBorders>
              <w:top w:val="single" w:sz="4" w:space="0" w:color="auto"/>
              <w:left w:val="single" w:sz="4" w:space="0" w:color="auto"/>
              <w:bottom w:val="single" w:sz="4" w:space="0" w:color="auto"/>
              <w:right w:val="single" w:sz="4" w:space="0" w:color="auto"/>
            </w:tcBorders>
            <w:noWrap/>
            <w:vAlign w:val="center"/>
            <w:hideMark/>
          </w:tcPr>
          <w:p w:rsidR="00292D6C" w:rsidRDefault="00292D6C">
            <w:pPr>
              <w:ind w:firstLine="425"/>
              <w:jc w:val="center"/>
              <w:rPr>
                <w:b/>
                <w:sz w:val="16"/>
              </w:rPr>
            </w:pPr>
            <w:r>
              <w:rPr>
                <w:b/>
                <w:sz w:val="16"/>
              </w:rPr>
              <w:t>Nuokrypis</w:t>
            </w:r>
          </w:p>
          <w:p w:rsidR="00292D6C" w:rsidRDefault="00292D6C">
            <w:pPr>
              <w:ind w:firstLine="425"/>
              <w:jc w:val="center"/>
              <w:rPr>
                <w:b/>
                <w:sz w:val="16"/>
              </w:rPr>
            </w:pPr>
            <w:r>
              <w:rPr>
                <w:b/>
                <w:sz w:val="16"/>
              </w:rPr>
              <w:t>(4  - 3)</w:t>
            </w:r>
          </w:p>
        </w:tc>
        <w:tc>
          <w:tcPr>
            <w:tcW w:w="992" w:type="dxa"/>
            <w:tcBorders>
              <w:top w:val="single" w:sz="4" w:space="0" w:color="auto"/>
              <w:left w:val="nil"/>
              <w:bottom w:val="nil"/>
              <w:right w:val="single" w:sz="4" w:space="0" w:color="auto"/>
            </w:tcBorders>
            <w:noWrap/>
            <w:vAlign w:val="center"/>
            <w:hideMark/>
          </w:tcPr>
          <w:p w:rsidR="00292D6C" w:rsidRDefault="00292D6C">
            <w:pPr>
              <w:ind w:firstLine="425"/>
              <w:jc w:val="center"/>
              <w:rPr>
                <w:b/>
                <w:sz w:val="16"/>
              </w:rPr>
            </w:pPr>
            <w:r>
              <w:rPr>
                <w:b/>
                <w:sz w:val="16"/>
              </w:rPr>
              <w:t>Įvykdymo</w:t>
            </w:r>
          </w:p>
          <w:p w:rsidR="00292D6C" w:rsidRDefault="00292D6C">
            <w:pPr>
              <w:ind w:firstLine="425"/>
              <w:jc w:val="center"/>
              <w:rPr>
                <w:b/>
                <w:sz w:val="16"/>
              </w:rPr>
            </w:pPr>
            <w:r>
              <w:rPr>
                <w:b/>
                <w:sz w:val="16"/>
              </w:rPr>
              <w:t>%</w:t>
            </w:r>
          </w:p>
        </w:tc>
      </w:tr>
      <w:tr w:rsidR="00292D6C" w:rsidTr="00292D6C">
        <w:trPr>
          <w:trHeight w:val="195"/>
        </w:trPr>
        <w:tc>
          <w:tcPr>
            <w:tcW w:w="1008" w:type="dxa"/>
            <w:tcBorders>
              <w:top w:val="single" w:sz="4" w:space="0" w:color="auto"/>
              <w:left w:val="single" w:sz="4" w:space="0" w:color="auto"/>
              <w:bottom w:val="single" w:sz="4" w:space="0" w:color="auto"/>
              <w:right w:val="single" w:sz="4" w:space="0" w:color="auto"/>
            </w:tcBorders>
            <w:noWrap/>
            <w:vAlign w:val="bottom"/>
            <w:hideMark/>
          </w:tcPr>
          <w:p w:rsidR="00292D6C" w:rsidRDefault="00292D6C">
            <w:pPr>
              <w:ind w:firstLine="425"/>
              <w:jc w:val="center"/>
              <w:rPr>
                <w:b/>
                <w:sz w:val="14"/>
              </w:rPr>
            </w:pPr>
            <w:r>
              <w:rPr>
                <w:b/>
                <w:sz w:val="14"/>
              </w:rPr>
              <w:t>1</w:t>
            </w:r>
          </w:p>
        </w:tc>
        <w:tc>
          <w:tcPr>
            <w:tcW w:w="3402" w:type="dxa"/>
            <w:tcBorders>
              <w:top w:val="single" w:sz="4" w:space="0" w:color="auto"/>
              <w:left w:val="nil"/>
              <w:bottom w:val="single" w:sz="4" w:space="0" w:color="auto"/>
              <w:right w:val="single" w:sz="4" w:space="0" w:color="auto"/>
            </w:tcBorders>
            <w:noWrap/>
            <w:vAlign w:val="bottom"/>
            <w:hideMark/>
          </w:tcPr>
          <w:p w:rsidR="00292D6C" w:rsidRDefault="00292D6C">
            <w:pPr>
              <w:ind w:firstLine="425"/>
              <w:jc w:val="center"/>
              <w:rPr>
                <w:b/>
                <w:sz w:val="14"/>
              </w:rPr>
            </w:pPr>
            <w:r>
              <w:rPr>
                <w:b/>
                <w:sz w:val="14"/>
              </w:rPr>
              <w:t>2</w:t>
            </w:r>
          </w:p>
        </w:tc>
        <w:tc>
          <w:tcPr>
            <w:tcW w:w="1559" w:type="dxa"/>
            <w:tcBorders>
              <w:top w:val="single" w:sz="4" w:space="0" w:color="auto"/>
              <w:left w:val="nil"/>
              <w:bottom w:val="single" w:sz="4" w:space="0" w:color="auto"/>
              <w:right w:val="single" w:sz="4" w:space="0" w:color="auto"/>
            </w:tcBorders>
            <w:noWrap/>
            <w:vAlign w:val="bottom"/>
            <w:hideMark/>
          </w:tcPr>
          <w:p w:rsidR="00292D6C" w:rsidRDefault="00292D6C">
            <w:pPr>
              <w:ind w:firstLine="425"/>
              <w:jc w:val="center"/>
              <w:rPr>
                <w:b/>
                <w:sz w:val="14"/>
              </w:rPr>
            </w:pPr>
            <w:r>
              <w:rPr>
                <w:b/>
                <w:sz w:val="14"/>
              </w:rPr>
              <w:t>3</w:t>
            </w:r>
          </w:p>
        </w:tc>
        <w:tc>
          <w:tcPr>
            <w:tcW w:w="1236" w:type="dxa"/>
            <w:tcBorders>
              <w:top w:val="single" w:sz="4" w:space="0" w:color="auto"/>
              <w:left w:val="nil"/>
              <w:bottom w:val="single" w:sz="4" w:space="0" w:color="auto"/>
              <w:right w:val="single" w:sz="4" w:space="0" w:color="auto"/>
            </w:tcBorders>
            <w:noWrap/>
            <w:vAlign w:val="bottom"/>
            <w:hideMark/>
          </w:tcPr>
          <w:p w:rsidR="00292D6C" w:rsidRDefault="00292D6C">
            <w:pPr>
              <w:ind w:firstLine="425"/>
              <w:jc w:val="center"/>
              <w:rPr>
                <w:b/>
                <w:sz w:val="14"/>
              </w:rPr>
            </w:pPr>
            <w:r>
              <w:rPr>
                <w:b/>
                <w:sz w:val="14"/>
              </w:rPr>
              <w:t>4</w:t>
            </w:r>
          </w:p>
        </w:tc>
        <w:tc>
          <w:tcPr>
            <w:tcW w:w="1315" w:type="dxa"/>
            <w:tcBorders>
              <w:top w:val="single" w:sz="4" w:space="0" w:color="auto"/>
              <w:left w:val="nil"/>
              <w:bottom w:val="single" w:sz="4" w:space="0" w:color="auto"/>
              <w:right w:val="single" w:sz="4" w:space="0" w:color="auto"/>
            </w:tcBorders>
            <w:noWrap/>
            <w:vAlign w:val="bottom"/>
            <w:hideMark/>
          </w:tcPr>
          <w:p w:rsidR="00292D6C" w:rsidRDefault="00292D6C">
            <w:pPr>
              <w:ind w:firstLine="425"/>
              <w:jc w:val="center"/>
              <w:rPr>
                <w:b/>
                <w:sz w:val="14"/>
              </w:rPr>
            </w:pPr>
            <w:r>
              <w:rPr>
                <w:b/>
                <w:sz w:val="14"/>
              </w:rPr>
              <w:t>5</w:t>
            </w:r>
          </w:p>
        </w:tc>
        <w:tc>
          <w:tcPr>
            <w:tcW w:w="992" w:type="dxa"/>
            <w:tcBorders>
              <w:top w:val="single" w:sz="4" w:space="0" w:color="auto"/>
              <w:left w:val="nil"/>
              <w:bottom w:val="single" w:sz="4" w:space="0" w:color="auto"/>
              <w:right w:val="single" w:sz="4" w:space="0" w:color="auto"/>
            </w:tcBorders>
            <w:noWrap/>
            <w:vAlign w:val="bottom"/>
            <w:hideMark/>
          </w:tcPr>
          <w:p w:rsidR="00292D6C" w:rsidRDefault="00292D6C">
            <w:pPr>
              <w:ind w:firstLine="425"/>
              <w:jc w:val="center"/>
              <w:rPr>
                <w:b/>
                <w:sz w:val="14"/>
              </w:rPr>
            </w:pPr>
            <w:r>
              <w:rPr>
                <w:b/>
                <w:sz w:val="14"/>
              </w:rPr>
              <w:t>6</w:t>
            </w:r>
          </w:p>
        </w:tc>
      </w:tr>
      <w:tr w:rsidR="00292D6C" w:rsidTr="00292D6C">
        <w:trPr>
          <w:trHeight w:val="285"/>
        </w:trPr>
        <w:tc>
          <w:tcPr>
            <w:tcW w:w="9512" w:type="dxa"/>
            <w:gridSpan w:val="6"/>
            <w:tcBorders>
              <w:top w:val="single" w:sz="4" w:space="0" w:color="auto"/>
              <w:left w:val="single" w:sz="4" w:space="0" w:color="auto"/>
              <w:bottom w:val="single" w:sz="4" w:space="0" w:color="auto"/>
              <w:right w:val="single" w:sz="4" w:space="0" w:color="auto"/>
            </w:tcBorders>
            <w:noWrap/>
            <w:vAlign w:val="center"/>
            <w:hideMark/>
          </w:tcPr>
          <w:p w:rsidR="00292D6C" w:rsidRDefault="00292D6C">
            <w:pPr>
              <w:ind w:firstLine="425"/>
              <w:jc w:val="center"/>
              <w:rPr>
                <w:b/>
              </w:rPr>
            </w:pPr>
            <w:r>
              <w:rPr>
                <w:b/>
                <w:sz w:val="20"/>
              </w:rPr>
              <w:t>Valstybės biudžeto lėšos</w:t>
            </w:r>
          </w:p>
        </w:tc>
      </w:tr>
      <w:tr w:rsidR="00292D6C" w:rsidTr="00292D6C">
        <w:trPr>
          <w:trHeight w:val="800"/>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292D6C" w:rsidRDefault="00292D6C">
            <w:pPr>
              <w:ind w:firstLine="425"/>
              <w:jc w:val="center"/>
              <w:rPr>
                <w:sz w:val="22"/>
              </w:rPr>
            </w:pPr>
            <w:r>
              <w:rPr>
                <w:sz w:val="22"/>
              </w:rPr>
              <w:t>01 002</w:t>
            </w:r>
          </w:p>
        </w:tc>
        <w:tc>
          <w:tcPr>
            <w:tcW w:w="3402" w:type="dxa"/>
            <w:tcBorders>
              <w:top w:val="single" w:sz="4" w:space="0" w:color="auto"/>
              <w:left w:val="nil"/>
              <w:bottom w:val="single" w:sz="4" w:space="0" w:color="auto"/>
              <w:right w:val="single" w:sz="4" w:space="0" w:color="auto"/>
            </w:tcBorders>
            <w:vAlign w:val="center"/>
            <w:hideMark/>
          </w:tcPr>
          <w:p w:rsidR="00292D6C" w:rsidRDefault="00292D6C">
            <w:pPr>
              <w:ind w:firstLine="425"/>
              <w:jc w:val="both"/>
              <w:rPr>
                <w:sz w:val="22"/>
              </w:rPr>
            </w:pPr>
            <w:r>
              <w:rPr>
                <w:sz w:val="22"/>
              </w:rPr>
              <w:t>Teisingumo vykdymas</w:t>
            </w:r>
          </w:p>
        </w:tc>
        <w:tc>
          <w:tcPr>
            <w:tcW w:w="1559" w:type="dxa"/>
            <w:tcBorders>
              <w:top w:val="single" w:sz="4" w:space="0" w:color="auto"/>
              <w:left w:val="nil"/>
              <w:bottom w:val="single" w:sz="4" w:space="0" w:color="auto"/>
              <w:right w:val="single" w:sz="4" w:space="0" w:color="auto"/>
            </w:tcBorders>
            <w:noWrap/>
            <w:vAlign w:val="center"/>
            <w:hideMark/>
          </w:tcPr>
          <w:p w:rsidR="00292D6C" w:rsidRDefault="00292D6C">
            <w:pPr>
              <w:ind w:firstLine="425"/>
              <w:jc w:val="both"/>
              <w:rPr>
                <w:sz w:val="22"/>
              </w:rPr>
            </w:pPr>
            <w:r>
              <w:rPr>
                <w:sz w:val="22"/>
              </w:rPr>
              <w:t>272095,00</w:t>
            </w:r>
          </w:p>
        </w:tc>
        <w:tc>
          <w:tcPr>
            <w:tcW w:w="1236" w:type="dxa"/>
            <w:tcBorders>
              <w:top w:val="single" w:sz="4" w:space="0" w:color="auto"/>
              <w:left w:val="nil"/>
              <w:bottom w:val="single" w:sz="4" w:space="0" w:color="auto"/>
              <w:right w:val="single" w:sz="4" w:space="0" w:color="auto"/>
            </w:tcBorders>
            <w:noWrap/>
            <w:vAlign w:val="center"/>
            <w:hideMark/>
          </w:tcPr>
          <w:p w:rsidR="00292D6C" w:rsidRDefault="00292D6C">
            <w:pPr>
              <w:ind w:firstLine="425"/>
              <w:jc w:val="center"/>
              <w:rPr>
                <w:sz w:val="22"/>
              </w:rPr>
            </w:pPr>
            <w:r>
              <w:rPr>
                <w:sz w:val="22"/>
              </w:rPr>
              <w:t>272095,00</w:t>
            </w:r>
          </w:p>
        </w:tc>
        <w:tc>
          <w:tcPr>
            <w:tcW w:w="1315" w:type="dxa"/>
            <w:tcBorders>
              <w:top w:val="single" w:sz="4" w:space="0" w:color="auto"/>
              <w:left w:val="nil"/>
              <w:bottom w:val="single" w:sz="4" w:space="0" w:color="auto"/>
              <w:right w:val="single" w:sz="4" w:space="0" w:color="auto"/>
            </w:tcBorders>
            <w:noWrap/>
            <w:vAlign w:val="center"/>
            <w:hideMark/>
          </w:tcPr>
          <w:p w:rsidR="00292D6C" w:rsidRDefault="00292D6C">
            <w:pPr>
              <w:ind w:firstLine="425"/>
              <w:jc w:val="center"/>
              <w:rPr>
                <w:sz w:val="22"/>
              </w:rPr>
            </w:pPr>
            <w:r>
              <w:rPr>
                <w:sz w:val="22"/>
              </w:rPr>
              <w:t>0,00</w:t>
            </w:r>
          </w:p>
        </w:tc>
        <w:tc>
          <w:tcPr>
            <w:tcW w:w="992" w:type="dxa"/>
            <w:tcBorders>
              <w:top w:val="single" w:sz="4" w:space="0" w:color="auto"/>
              <w:left w:val="nil"/>
              <w:bottom w:val="single" w:sz="4" w:space="0" w:color="auto"/>
              <w:right w:val="single" w:sz="4" w:space="0" w:color="auto"/>
            </w:tcBorders>
            <w:noWrap/>
            <w:vAlign w:val="center"/>
            <w:hideMark/>
          </w:tcPr>
          <w:p w:rsidR="00292D6C" w:rsidRDefault="00292D6C">
            <w:pPr>
              <w:ind w:firstLine="425"/>
              <w:jc w:val="center"/>
              <w:rPr>
                <w:sz w:val="22"/>
              </w:rPr>
            </w:pPr>
            <w:r>
              <w:rPr>
                <w:sz w:val="22"/>
              </w:rPr>
              <w:t>100</w:t>
            </w:r>
          </w:p>
        </w:tc>
      </w:tr>
    </w:tbl>
    <w:p w:rsidR="00292D6C" w:rsidRDefault="00292D6C" w:rsidP="00292D6C">
      <w:pPr>
        <w:tabs>
          <w:tab w:val="left" w:pos="900"/>
        </w:tabs>
        <w:spacing w:line="360" w:lineRule="auto"/>
        <w:jc w:val="both"/>
        <w:rPr>
          <w:color w:val="000000"/>
          <w:szCs w:val="24"/>
        </w:rPr>
      </w:pPr>
    </w:p>
    <w:p w:rsidR="00292D6C" w:rsidRDefault="00292D6C" w:rsidP="00292D6C">
      <w:pPr>
        <w:tabs>
          <w:tab w:val="left" w:pos="900"/>
        </w:tabs>
        <w:spacing w:line="360" w:lineRule="auto"/>
        <w:jc w:val="both"/>
      </w:pPr>
      <w:r>
        <w:tab/>
        <w:t>Teismo mokėtinas sumas sudaro:</w:t>
      </w:r>
    </w:p>
    <w:p w:rsidR="00292D6C" w:rsidRDefault="00292D6C" w:rsidP="00292D6C">
      <w:pPr>
        <w:pStyle w:val="Pagrindinistekstas"/>
        <w:jc w:val="center"/>
        <w:rPr>
          <w:color w:val="000000"/>
        </w:rPr>
      </w:pPr>
      <w:r>
        <w:t xml:space="preserve">                                                                                                                      (tūkst. Eur)</w:t>
      </w:r>
    </w:p>
    <w:tbl>
      <w:tblPr>
        <w:tblW w:w="8662" w:type="dxa"/>
        <w:tblInd w:w="504" w:type="dxa"/>
        <w:tblLook w:val="04A0" w:firstRow="1" w:lastRow="0" w:firstColumn="1" w:lastColumn="0" w:noHBand="0" w:noVBand="1"/>
      </w:tblPr>
      <w:tblGrid>
        <w:gridCol w:w="4340"/>
        <w:gridCol w:w="500"/>
        <w:gridCol w:w="1696"/>
        <w:gridCol w:w="2126"/>
      </w:tblGrid>
      <w:tr w:rsidR="00292D6C" w:rsidTr="00292D6C">
        <w:trPr>
          <w:trHeight w:val="724"/>
        </w:trPr>
        <w:tc>
          <w:tcPr>
            <w:tcW w:w="4340" w:type="dxa"/>
            <w:tcBorders>
              <w:top w:val="single" w:sz="4" w:space="0" w:color="auto"/>
              <w:left w:val="single" w:sz="4" w:space="0" w:color="auto"/>
              <w:bottom w:val="single" w:sz="4" w:space="0" w:color="auto"/>
              <w:right w:val="single" w:sz="4" w:space="0" w:color="auto"/>
            </w:tcBorders>
            <w:vAlign w:val="center"/>
            <w:hideMark/>
          </w:tcPr>
          <w:p w:rsidR="00292D6C" w:rsidRDefault="00292D6C">
            <w:pPr>
              <w:ind w:firstLine="425"/>
              <w:jc w:val="center"/>
              <w:rPr>
                <w:b/>
                <w:bCs/>
                <w:sz w:val="16"/>
                <w:lang w:eastAsia="lt-LT"/>
              </w:rPr>
            </w:pPr>
            <w:r>
              <w:rPr>
                <w:b/>
                <w:bCs/>
                <w:sz w:val="16"/>
                <w:lang w:eastAsia="lt-LT"/>
              </w:rPr>
              <w:t>Išlaidų pavadinimas</w:t>
            </w:r>
          </w:p>
        </w:tc>
        <w:tc>
          <w:tcPr>
            <w:tcW w:w="500" w:type="dxa"/>
            <w:tcBorders>
              <w:top w:val="single" w:sz="4" w:space="0" w:color="auto"/>
              <w:left w:val="nil"/>
              <w:bottom w:val="single" w:sz="4" w:space="0" w:color="auto"/>
              <w:right w:val="single" w:sz="4" w:space="0" w:color="auto"/>
            </w:tcBorders>
            <w:vAlign w:val="center"/>
            <w:hideMark/>
          </w:tcPr>
          <w:p w:rsidR="00292D6C" w:rsidRDefault="00292D6C">
            <w:pPr>
              <w:ind w:firstLine="425"/>
              <w:jc w:val="center"/>
              <w:rPr>
                <w:b/>
                <w:bCs/>
                <w:sz w:val="16"/>
                <w:lang w:eastAsia="lt-LT"/>
              </w:rPr>
            </w:pPr>
            <w:r>
              <w:rPr>
                <w:b/>
                <w:bCs/>
                <w:sz w:val="16"/>
                <w:lang w:eastAsia="lt-LT"/>
              </w:rPr>
              <w:t>Eil. Nr.</w:t>
            </w:r>
          </w:p>
        </w:tc>
        <w:tc>
          <w:tcPr>
            <w:tcW w:w="1696" w:type="dxa"/>
            <w:tcBorders>
              <w:top w:val="single" w:sz="4" w:space="0" w:color="auto"/>
              <w:left w:val="nil"/>
              <w:bottom w:val="single" w:sz="4" w:space="0" w:color="auto"/>
              <w:right w:val="single" w:sz="4" w:space="0" w:color="auto"/>
            </w:tcBorders>
            <w:vAlign w:val="center"/>
            <w:hideMark/>
          </w:tcPr>
          <w:p w:rsidR="00292D6C" w:rsidRDefault="00292D6C">
            <w:pPr>
              <w:ind w:firstLine="425"/>
              <w:jc w:val="center"/>
              <w:rPr>
                <w:b/>
                <w:bCs/>
                <w:sz w:val="16"/>
                <w:lang w:eastAsia="lt-LT"/>
              </w:rPr>
            </w:pPr>
            <w:r>
              <w:rPr>
                <w:b/>
                <w:bCs/>
                <w:sz w:val="16"/>
                <w:lang w:eastAsia="lt-LT"/>
              </w:rPr>
              <w:t>Likutis metų pradžioje</w:t>
            </w:r>
          </w:p>
        </w:tc>
        <w:tc>
          <w:tcPr>
            <w:tcW w:w="2126" w:type="dxa"/>
            <w:tcBorders>
              <w:top w:val="single" w:sz="4" w:space="0" w:color="auto"/>
              <w:left w:val="nil"/>
              <w:bottom w:val="single" w:sz="4" w:space="0" w:color="auto"/>
              <w:right w:val="single" w:sz="4" w:space="0" w:color="auto"/>
            </w:tcBorders>
            <w:vAlign w:val="center"/>
            <w:hideMark/>
          </w:tcPr>
          <w:p w:rsidR="00292D6C" w:rsidRDefault="00292D6C">
            <w:pPr>
              <w:ind w:firstLine="425"/>
              <w:jc w:val="center"/>
              <w:rPr>
                <w:b/>
                <w:bCs/>
                <w:sz w:val="16"/>
                <w:lang w:eastAsia="lt-LT"/>
              </w:rPr>
            </w:pPr>
            <w:r>
              <w:rPr>
                <w:b/>
                <w:bCs/>
                <w:sz w:val="16"/>
                <w:lang w:eastAsia="lt-LT"/>
              </w:rPr>
              <w:t xml:space="preserve">Likutis 2017 m.  </w:t>
            </w:r>
          </w:p>
          <w:p w:rsidR="00292D6C" w:rsidRDefault="00292D6C">
            <w:pPr>
              <w:ind w:firstLine="425"/>
              <w:jc w:val="center"/>
              <w:rPr>
                <w:b/>
                <w:bCs/>
                <w:sz w:val="16"/>
                <w:lang w:eastAsia="lt-LT"/>
              </w:rPr>
            </w:pPr>
            <w:r>
              <w:rPr>
                <w:b/>
                <w:bCs/>
                <w:sz w:val="16"/>
                <w:lang w:eastAsia="lt-LT"/>
              </w:rPr>
              <w:t>pabaigoje</w:t>
            </w:r>
          </w:p>
        </w:tc>
      </w:tr>
      <w:tr w:rsidR="00292D6C" w:rsidTr="00292D6C">
        <w:trPr>
          <w:trHeight w:val="255"/>
        </w:trPr>
        <w:tc>
          <w:tcPr>
            <w:tcW w:w="4340" w:type="dxa"/>
            <w:tcBorders>
              <w:top w:val="nil"/>
              <w:left w:val="single" w:sz="4" w:space="0" w:color="auto"/>
              <w:bottom w:val="single" w:sz="4" w:space="0" w:color="auto"/>
              <w:right w:val="single" w:sz="4" w:space="0" w:color="auto"/>
            </w:tcBorders>
            <w:noWrap/>
            <w:vAlign w:val="bottom"/>
            <w:hideMark/>
          </w:tcPr>
          <w:p w:rsidR="00292D6C" w:rsidRDefault="00292D6C">
            <w:pPr>
              <w:ind w:firstLine="425"/>
              <w:jc w:val="center"/>
              <w:rPr>
                <w:b/>
                <w:sz w:val="16"/>
                <w:lang w:eastAsia="lt-LT"/>
              </w:rPr>
            </w:pPr>
            <w:r>
              <w:rPr>
                <w:b/>
                <w:sz w:val="16"/>
                <w:lang w:eastAsia="lt-LT"/>
              </w:rPr>
              <w:t>1</w:t>
            </w:r>
          </w:p>
        </w:tc>
        <w:tc>
          <w:tcPr>
            <w:tcW w:w="500" w:type="dxa"/>
            <w:tcBorders>
              <w:top w:val="nil"/>
              <w:left w:val="nil"/>
              <w:bottom w:val="single" w:sz="4" w:space="0" w:color="auto"/>
              <w:right w:val="single" w:sz="4" w:space="0" w:color="auto"/>
            </w:tcBorders>
            <w:noWrap/>
            <w:vAlign w:val="bottom"/>
            <w:hideMark/>
          </w:tcPr>
          <w:p w:rsidR="00292D6C" w:rsidRDefault="00292D6C">
            <w:pPr>
              <w:ind w:firstLine="425"/>
              <w:jc w:val="center"/>
              <w:rPr>
                <w:b/>
                <w:sz w:val="16"/>
                <w:lang w:eastAsia="lt-LT"/>
              </w:rPr>
            </w:pPr>
            <w:r>
              <w:rPr>
                <w:b/>
                <w:sz w:val="16"/>
                <w:lang w:eastAsia="lt-LT"/>
              </w:rPr>
              <w:t>2</w:t>
            </w:r>
          </w:p>
        </w:tc>
        <w:tc>
          <w:tcPr>
            <w:tcW w:w="1696" w:type="dxa"/>
            <w:tcBorders>
              <w:top w:val="nil"/>
              <w:left w:val="nil"/>
              <w:bottom w:val="single" w:sz="4" w:space="0" w:color="auto"/>
              <w:right w:val="single" w:sz="4" w:space="0" w:color="auto"/>
            </w:tcBorders>
            <w:noWrap/>
            <w:vAlign w:val="bottom"/>
            <w:hideMark/>
          </w:tcPr>
          <w:p w:rsidR="00292D6C" w:rsidRDefault="00292D6C">
            <w:pPr>
              <w:ind w:firstLine="425"/>
              <w:jc w:val="center"/>
              <w:rPr>
                <w:b/>
                <w:sz w:val="16"/>
                <w:lang w:eastAsia="lt-LT"/>
              </w:rPr>
            </w:pPr>
            <w:r>
              <w:rPr>
                <w:b/>
                <w:sz w:val="16"/>
                <w:lang w:eastAsia="lt-LT"/>
              </w:rPr>
              <w:t>3</w:t>
            </w:r>
          </w:p>
        </w:tc>
        <w:tc>
          <w:tcPr>
            <w:tcW w:w="2126" w:type="dxa"/>
            <w:tcBorders>
              <w:top w:val="nil"/>
              <w:left w:val="nil"/>
              <w:bottom w:val="single" w:sz="4" w:space="0" w:color="auto"/>
              <w:right w:val="single" w:sz="4" w:space="0" w:color="auto"/>
            </w:tcBorders>
            <w:noWrap/>
            <w:vAlign w:val="bottom"/>
            <w:hideMark/>
          </w:tcPr>
          <w:p w:rsidR="00292D6C" w:rsidRDefault="00292D6C">
            <w:pPr>
              <w:ind w:firstLine="425"/>
              <w:jc w:val="center"/>
              <w:rPr>
                <w:b/>
                <w:sz w:val="16"/>
                <w:lang w:eastAsia="lt-LT"/>
              </w:rPr>
            </w:pPr>
            <w:r>
              <w:rPr>
                <w:b/>
                <w:sz w:val="16"/>
                <w:lang w:eastAsia="lt-LT"/>
              </w:rPr>
              <w:t>4</w:t>
            </w:r>
          </w:p>
        </w:tc>
      </w:tr>
      <w:tr w:rsidR="00292D6C" w:rsidTr="00292D6C">
        <w:trPr>
          <w:trHeight w:val="300"/>
        </w:trPr>
        <w:tc>
          <w:tcPr>
            <w:tcW w:w="4340" w:type="dxa"/>
            <w:tcBorders>
              <w:top w:val="nil"/>
              <w:left w:val="single" w:sz="4" w:space="0" w:color="auto"/>
              <w:bottom w:val="single" w:sz="4" w:space="0" w:color="auto"/>
              <w:right w:val="single" w:sz="4" w:space="0" w:color="auto"/>
            </w:tcBorders>
            <w:vAlign w:val="bottom"/>
            <w:hideMark/>
          </w:tcPr>
          <w:p w:rsidR="00292D6C" w:rsidRDefault="00292D6C">
            <w:pPr>
              <w:ind w:firstLine="425"/>
              <w:jc w:val="both"/>
              <w:rPr>
                <w:b/>
                <w:bCs/>
                <w:sz w:val="20"/>
                <w:lang w:eastAsia="lt-LT"/>
              </w:rPr>
            </w:pPr>
            <w:r>
              <w:rPr>
                <w:b/>
                <w:bCs/>
                <w:sz w:val="20"/>
                <w:lang w:eastAsia="lt-LT"/>
              </w:rPr>
              <w:t>IŠLAIDOS (2+6+10)</w:t>
            </w:r>
          </w:p>
        </w:tc>
        <w:tc>
          <w:tcPr>
            <w:tcW w:w="500" w:type="dxa"/>
            <w:tcBorders>
              <w:top w:val="nil"/>
              <w:left w:val="nil"/>
              <w:bottom w:val="single" w:sz="4" w:space="0" w:color="auto"/>
              <w:right w:val="single" w:sz="4" w:space="0" w:color="auto"/>
            </w:tcBorders>
            <w:vAlign w:val="bottom"/>
            <w:hideMark/>
          </w:tcPr>
          <w:p w:rsidR="00292D6C" w:rsidRDefault="00292D6C">
            <w:pPr>
              <w:ind w:firstLine="425"/>
              <w:jc w:val="center"/>
              <w:rPr>
                <w:b/>
                <w:sz w:val="20"/>
                <w:lang w:eastAsia="lt-LT"/>
              </w:rPr>
            </w:pPr>
            <w:r>
              <w:rPr>
                <w:b/>
                <w:sz w:val="20"/>
                <w:lang w:eastAsia="lt-LT"/>
              </w:rPr>
              <w:t>1</w:t>
            </w:r>
          </w:p>
        </w:tc>
        <w:tc>
          <w:tcPr>
            <w:tcW w:w="1696" w:type="dxa"/>
            <w:tcBorders>
              <w:top w:val="nil"/>
              <w:left w:val="nil"/>
              <w:bottom w:val="single" w:sz="4" w:space="0" w:color="auto"/>
              <w:right w:val="single" w:sz="4" w:space="0" w:color="auto"/>
            </w:tcBorders>
            <w:noWrap/>
            <w:vAlign w:val="bottom"/>
            <w:hideMark/>
          </w:tcPr>
          <w:p w:rsidR="00292D6C" w:rsidRDefault="00292D6C">
            <w:pPr>
              <w:ind w:firstLine="425"/>
              <w:jc w:val="center"/>
              <w:rPr>
                <w:b/>
                <w:sz w:val="20"/>
                <w:lang w:eastAsia="lt-LT"/>
              </w:rPr>
            </w:pPr>
            <w:r>
              <w:rPr>
                <w:b/>
                <w:sz w:val="20"/>
                <w:lang w:eastAsia="lt-LT"/>
              </w:rPr>
              <w:t>28,0</w:t>
            </w:r>
          </w:p>
        </w:tc>
        <w:tc>
          <w:tcPr>
            <w:tcW w:w="2126" w:type="dxa"/>
            <w:tcBorders>
              <w:top w:val="nil"/>
              <w:left w:val="nil"/>
              <w:bottom w:val="single" w:sz="4" w:space="0" w:color="auto"/>
              <w:right w:val="single" w:sz="4" w:space="0" w:color="auto"/>
            </w:tcBorders>
            <w:noWrap/>
            <w:vAlign w:val="bottom"/>
            <w:hideMark/>
          </w:tcPr>
          <w:p w:rsidR="00292D6C" w:rsidRDefault="00292D6C">
            <w:pPr>
              <w:ind w:firstLine="425"/>
              <w:jc w:val="center"/>
              <w:rPr>
                <w:b/>
                <w:sz w:val="20"/>
                <w:lang w:eastAsia="lt-LT"/>
              </w:rPr>
            </w:pPr>
            <w:r>
              <w:rPr>
                <w:b/>
                <w:sz w:val="20"/>
                <w:lang w:eastAsia="lt-LT"/>
              </w:rPr>
              <w:t>44,4</w:t>
            </w:r>
          </w:p>
        </w:tc>
      </w:tr>
      <w:tr w:rsidR="00292D6C" w:rsidTr="00292D6C">
        <w:trPr>
          <w:trHeight w:val="315"/>
        </w:trPr>
        <w:tc>
          <w:tcPr>
            <w:tcW w:w="4340" w:type="dxa"/>
            <w:tcBorders>
              <w:top w:val="nil"/>
              <w:left w:val="single" w:sz="4" w:space="0" w:color="auto"/>
              <w:bottom w:val="single" w:sz="4" w:space="0" w:color="auto"/>
              <w:right w:val="single" w:sz="4" w:space="0" w:color="auto"/>
            </w:tcBorders>
            <w:shd w:val="clear" w:color="auto" w:fill="D7E4BC"/>
            <w:vAlign w:val="bottom"/>
            <w:hideMark/>
          </w:tcPr>
          <w:p w:rsidR="00292D6C" w:rsidRDefault="00292D6C">
            <w:pPr>
              <w:ind w:firstLine="425"/>
              <w:jc w:val="both"/>
              <w:rPr>
                <w:b/>
                <w:bCs/>
                <w:sz w:val="20"/>
                <w:lang w:eastAsia="lt-LT"/>
              </w:rPr>
            </w:pPr>
            <w:r>
              <w:rPr>
                <w:b/>
                <w:bCs/>
                <w:sz w:val="20"/>
                <w:lang w:eastAsia="lt-LT"/>
              </w:rPr>
              <w:t>Darbo užmokestis ir socialinis draudimas (3+5)</w:t>
            </w:r>
          </w:p>
        </w:tc>
        <w:tc>
          <w:tcPr>
            <w:tcW w:w="500" w:type="dxa"/>
            <w:tcBorders>
              <w:top w:val="nil"/>
              <w:left w:val="nil"/>
              <w:bottom w:val="single" w:sz="4" w:space="0" w:color="auto"/>
              <w:right w:val="single" w:sz="4" w:space="0" w:color="auto"/>
            </w:tcBorders>
            <w:shd w:val="clear" w:color="auto" w:fill="D7E4BC"/>
            <w:vAlign w:val="bottom"/>
            <w:hideMark/>
          </w:tcPr>
          <w:p w:rsidR="00292D6C" w:rsidRDefault="00292D6C">
            <w:pPr>
              <w:ind w:firstLine="425"/>
              <w:jc w:val="center"/>
              <w:rPr>
                <w:b/>
                <w:sz w:val="20"/>
                <w:lang w:eastAsia="lt-LT"/>
              </w:rPr>
            </w:pPr>
            <w:r>
              <w:rPr>
                <w:b/>
                <w:sz w:val="20"/>
                <w:lang w:eastAsia="lt-LT"/>
              </w:rPr>
              <w:t>2</w:t>
            </w:r>
          </w:p>
        </w:tc>
        <w:tc>
          <w:tcPr>
            <w:tcW w:w="1696" w:type="dxa"/>
            <w:tcBorders>
              <w:top w:val="nil"/>
              <w:left w:val="nil"/>
              <w:bottom w:val="single" w:sz="4" w:space="0" w:color="auto"/>
              <w:right w:val="single" w:sz="4" w:space="0" w:color="auto"/>
            </w:tcBorders>
            <w:shd w:val="clear" w:color="auto" w:fill="D7E4BC"/>
            <w:noWrap/>
            <w:vAlign w:val="bottom"/>
            <w:hideMark/>
          </w:tcPr>
          <w:p w:rsidR="00292D6C" w:rsidRDefault="00292D6C">
            <w:pPr>
              <w:ind w:firstLine="425"/>
              <w:jc w:val="center"/>
              <w:rPr>
                <w:b/>
                <w:sz w:val="20"/>
                <w:lang w:eastAsia="lt-LT"/>
              </w:rPr>
            </w:pPr>
            <w:r>
              <w:rPr>
                <w:b/>
                <w:sz w:val="20"/>
                <w:lang w:eastAsia="lt-LT"/>
              </w:rPr>
              <w:t>26,5</w:t>
            </w:r>
          </w:p>
        </w:tc>
        <w:tc>
          <w:tcPr>
            <w:tcW w:w="2126" w:type="dxa"/>
            <w:tcBorders>
              <w:top w:val="nil"/>
              <w:left w:val="nil"/>
              <w:bottom w:val="single" w:sz="4" w:space="0" w:color="auto"/>
              <w:right w:val="single" w:sz="4" w:space="0" w:color="auto"/>
            </w:tcBorders>
            <w:shd w:val="clear" w:color="auto" w:fill="D7E4BC"/>
            <w:noWrap/>
            <w:vAlign w:val="bottom"/>
            <w:hideMark/>
          </w:tcPr>
          <w:p w:rsidR="00292D6C" w:rsidRDefault="00292D6C">
            <w:pPr>
              <w:ind w:firstLine="425"/>
              <w:jc w:val="center"/>
              <w:rPr>
                <w:b/>
                <w:sz w:val="20"/>
                <w:lang w:eastAsia="lt-LT"/>
              </w:rPr>
            </w:pPr>
            <w:r>
              <w:rPr>
                <w:b/>
                <w:sz w:val="20"/>
                <w:lang w:eastAsia="lt-LT"/>
              </w:rPr>
              <w:t>41,6</w:t>
            </w:r>
          </w:p>
        </w:tc>
      </w:tr>
      <w:tr w:rsidR="00292D6C" w:rsidTr="00292D6C">
        <w:trPr>
          <w:trHeight w:val="300"/>
        </w:trPr>
        <w:tc>
          <w:tcPr>
            <w:tcW w:w="4340" w:type="dxa"/>
            <w:tcBorders>
              <w:top w:val="nil"/>
              <w:left w:val="single" w:sz="4" w:space="0" w:color="auto"/>
              <w:bottom w:val="single" w:sz="4" w:space="0" w:color="auto"/>
              <w:right w:val="single" w:sz="4" w:space="0" w:color="auto"/>
            </w:tcBorders>
            <w:vAlign w:val="bottom"/>
            <w:hideMark/>
          </w:tcPr>
          <w:p w:rsidR="00292D6C" w:rsidRDefault="00292D6C">
            <w:pPr>
              <w:ind w:firstLine="425"/>
              <w:jc w:val="both"/>
              <w:rPr>
                <w:sz w:val="20"/>
                <w:lang w:eastAsia="lt-LT"/>
              </w:rPr>
            </w:pPr>
            <w:r>
              <w:rPr>
                <w:sz w:val="20"/>
                <w:lang w:eastAsia="lt-LT"/>
              </w:rPr>
              <w:t xml:space="preserve">Darbo užmokestis </w:t>
            </w:r>
          </w:p>
        </w:tc>
        <w:tc>
          <w:tcPr>
            <w:tcW w:w="500" w:type="dxa"/>
            <w:tcBorders>
              <w:top w:val="nil"/>
              <w:left w:val="nil"/>
              <w:bottom w:val="single" w:sz="4" w:space="0" w:color="auto"/>
              <w:right w:val="single" w:sz="4" w:space="0" w:color="auto"/>
            </w:tcBorders>
            <w:vAlign w:val="bottom"/>
            <w:hideMark/>
          </w:tcPr>
          <w:p w:rsidR="00292D6C" w:rsidRDefault="00292D6C">
            <w:pPr>
              <w:ind w:firstLine="425"/>
              <w:jc w:val="center"/>
              <w:rPr>
                <w:sz w:val="20"/>
                <w:lang w:eastAsia="lt-LT"/>
              </w:rPr>
            </w:pPr>
            <w:r>
              <w:rPr>
                <w:sz w:val="20"/>
                <w:lang w:eastAsia="lt-LT"/>
              </w:rPr>
              <w:t>3</w:t>
            </w:r>
          </w:p>
        </w:tc>
        <w:tc>
          <w:tcPr>
            <w:tcW w:w="1696" w:type="dxa"/>
            <w:tcBorders>
              <w:top w:val="nil"/>
              <w:left w:val="nil"/>
              <w:bottom w:val="single" w:sz="4" w:space="0" w:color="auto"/>
              <w:right w:val="single" w:sz="4" w:space="0" w:color="auto"/>
            </w:tcBorders>
            <w:shd w:val="clear" w:color="auto" w:fill="FFFFFF"/>
            <w:noWrap/>
            <w:vAlign w:val="bottom"/>
            <w:hideMark/>
          </w:tcPr>
          <w:p w:rsidR="00292D6C" w:rsidRDefault="00292D6C">
            <w:pPr>
              <w:ind w:firstLine="425"/>
              <w:jc w:val="center"/>
              <w:rPr>
                <w:sz w:val="20"/>
                <w:lang w:eastAsia="lt-LT"/>
              </w:rPr>
            </w:pPr>
            <w:r>
              <w:rPr>
                <w:sz w:val="20"/>
                <w:lang w:eastAsia="lt-LT"/>
              </w:rPr>
              <w:t>19,9</w:t>
            </w:r>
          </w:p>
        </w:tc>
        <w:tc>
          <w:tcPr>
            <w:tcW w:w="2126" w:type="dxa"/>
            <w:tcBorders>
              <w:top w:val="nil"/>
              <w:left w:val="nil"/>
              <w:bottom w:val="single" w:sz="4" w:space="0" w:color="auto"/>
              <w:right w:val="single" w:sz="4" w:space="0" w:color="auto"/>
            </w:tcBorders>
            <w:shd w:val="clear" w:color="auto" w:fill="FFFFFF"/>
            <w:noWrap/>
            <w:vAlign w:val="bottom"/>
            <w:hideMark/>
          </w:tcPr>
          <w:p w:rsidR="00292D6C" w:rsidRDefault="00292D6C">
            <w:pPr>
              <w:ind w:firstLine="425"/>
              <w:jc w:val="center"/>
              <w:rPr>
                <w:sz w:val="20"/>
                <w:lang w:eastAsia="lt-LT"/>
              </w:rPr>
            </w:pPr>
            <w:r>
              <w:rPr>
                <w:sz w:val="20"/>
                <w:lang w:eastAsia="lt-LT"/>
              </w:rPr>
              <w:t>31,8</w:t>
            </w:r>
          </w:p>
        </w:tc>
      </w:tr>
      <w:tr w:rsidR="00292D6C" w:rsidTr="00292D6C">
        <w:trPr>
          <w:trHeight w:val="300"/>
        </w:trPr>
        <w:tc>
          <w:tcPr>
            <w:tcW w:w="4340" w:type="dxa"/>
            <w:tcBorders>
              <w:top w:val="nil"/>
              <w:left w:val="single" w:sz="4" w:space="0" w:color="auto"/>
              <w:bottom w:val="single" w:sz="4" w:space="0" w:color="auto"/>
              <w:right w:val="single" w:sz="4" w:space="0" w:color="auto"/>
            </w:tcBorders>
            <w:vAlign w:val="bottom"/>
            <w:hideMark/>
          </w:tcPr>
          <w:p w:rsidR="00292D6C" w:rsidRDefault="00292D6C">
            <w:pPr>
              <w:ind w:firstLine="425"/>
              <w:jc w:val="both"/>
              <w:rPr>
                <w:sz w:val="20"/>
                <w:lang w:eastAsia="lt-LT"/>
              </w:rPr>
            </w:pPr>
            <w:r>
              <w:rPr>
                <w:sz w:val="20"/>
                <w:lang w:eastAsia="lt-LT"/>
              </w:rPr>
              <w:t>iš jų: gyventojų pajamų mokestis</w:t>
            </w:r>
          </w:p>
        </w:tc>
        <w:tc>
          <w:tcPr>
            <w:tcW w:w="500" w:type="dxa"/>
            <w:tcBorders>
              <w:top w:val="nil"/>
              <w:left w:val="nil"/>
              <w:bottom w:val="single" w:sz="4" w:space="0" w:color="auto"/>
              <w:right w:val="single" w:sz="4" w:space="0" w:color="auto"/>
            </w:tcBorders>
            <w:vAlign w:val="bottom"/>
            <w:hideMark/>
          </w:tcPr>
          <w:p w:rsidR="00292D6C" w:rsidRDefault="00292D6C">
            <w:pPr>
              <w:ind w:firstLine="425"/>
              <w:jc w:val="center"/>
              <w:rPr>
                <w:sz w:val="20"/>
                <w:lang w:eastAsia="lt-LT"/>
              </w:rPr>
            </w:pPr>
            <w:r>
              <w:rPr>
                <w:sz w:val="20"/>
                <w:lang w:eastAsia="lt-LT"/>
              </w:rPr>
              <w:t>4</w:t>
            </w:r>
          </w:p>
        </w:tc>
        <w:tc>
          <w:tcPr>
            <w:tcW w:w="1696" w:type="dxa"/>
            <w:tcBorders>
              <w:top w:val="nil"/>
              <w:left w:val="nil"/>
              <w:bottom w:val="single" w:sz="4" w:space="0" w:color="auto"/>
              <w:right w:val="single" w:sz="4" w:space="0" w:color="auto"/>
            </w:tcBorders>
            <w:shd w:val="clear" w:color="auto" w:fill="FFFFFF"/>
            <w:noWrap/>
            <w:vAlign w:val="bottom"/>
            <w:hideMark/>
          </w:tcPr>
          <w:p w:rsidR="00292D6C" w:rsidRDefault="00292D6C">
            <w:pPr>
              <w:ind w:firstLine="425"/>
              <w:jc w:val="center"/>
              <w:rPr>
                <w:sz w:val="20"/>
                <w:lang w:eastAsia="lt-LT"/>
              </w:rPr>
            </w:pPr>
            <w:r>
              <w:rPr>
                <w:sz w:val="20"/>
                <w:lang w:eastAsia="lt-LT"/>
              </w:rPr>
              <w:t>1,6</w:t>
            </w:r>
          </w:p>
        </w:tc>
        <w:tc>
          <w:tcPr>
            <w:tcW w:w="2126" w:type="dxa"/>
            <w:tcBorders>
              <w:top w:val="nil"/>
              <w:left w:val="nil"/>
              <w:bottom w:val="single" w:sz="4" w:space="0" w:color="auto"/>
              <w:right w:val="single" w:sz="4" w:space="0" w:color="auto"/>
            </w:tcBorders>
            <w:shd w:val="clear" w:color="auto" w:fill="FFFFFF"/>
            <w:noWrap/>
            <w:vAlign w:val="bottom"/>
            <w:hideMark/>
          </w:tcPr>
          <w:p w:rsidR="00292D6C" w:rsidRDefault="00292D6C">
            <w:pPr>
              <w:ind w:firstLine="425"/>
              <w:jc w:val="center"/>
              <w:rPr>
                <w:sz w:val="20"/>
                <w:lang w:eastAsia="lt-LT"/>
              </w:rPr>
            </w:pPr>
            <w:r>
              <w:rPr>
                <w:sz w:val="20"/>
                <w:lang w:eastAsia="lt-LT"/>
              </w:rPr>
              <w:t>4,1</w:t>
            </w:r>
          </w:p>
        </w:tc>
      </w:tr>
      <w:tr w:rsidR="00292D6C" w:rsidTr="00292D6C">
        <w:trPr>
          <w:trHeight w:val="300"/>
        </w:trPr>
        <w:tc>
          <w:tcPr>
            <w:tcW w:w="4340" w:type="dxa"/>
            <w:tcBorders>
              <w:top w:val="nil"/>
              <w:left w:val="single" w:sz="4" w:space="0" w:color="auto"/>
              <w:bottom w:val="single" w:sz="4" w:space="0" w:color="auto"/>
              <w:right w:val="single" w:sz="4" w:space="0" w:color="auto"/>
            </w:tcBorders>
            <w:vAlign w:val="bottom"/>
            <w:hideMark/>
          </w:tcPr>
          <w:p w:rsidR="00292D6C" w:rsidRDefault="00292D6C">
            <w:pPr>
              <w:ind w:firstLine="425"/>
              <w:jc w:val="both"/>
              <w:rPr>
                <w:sz w:val="20"/>
                <w:lang w:eastAsia="lt-LT"/>
              </w:rPr>
            </w:pPr>
            <w:r>
              <w:rPr>
                <w:sz w:val="20"/>
                <w:lang w:eastAsia="lt-LT"/>
              </w:rPr>
              <w:t>Socialinio draudimo įmokos</w:t>
            </w:r>
          </w:p>
        </w:tc>
        <w:tc>
          <w:tcPr>
            <w:tcW w:w="500" w:type="dxa"/>
            <w:tcBorders>
              <w:top w:val="nil"/>
              <w:left w:val="nil"/>
              <w:bottom w:val="single" w:sz="4" w:space="0" w:color="auto"/>
              <w:right w:val="single" w:sz="4" w:space="0" w:color="auto"/>
            </w:tcBorders>
            <w:vAlign w:val="bottom"/>
            <w:hideMark/>
          </w:tcPr>
          <w:p w:rsidR="00292D6C" w:rsidRDefault="00292D6C">
            <w:pPr>
              <w:ind w:firstLine="425"/>
              <w:jc w:val="center"/>
              <w:rPr>
                <w:sz w:val="20"/>
                <w:lang w:eastAsia="lt-LT"/>
              </w:rPr>
            </w:pPr>
            <w:r>
              <w:rPr>
                <w:sz w:val="20"/>
                <w:lang w:eastAsia="lt-LT"/>
              </w:rPr>
              <w:t>5</w:t>
            </w:r>
          </w:p>
        </w:tc>
        <w:tc>
          <w:tcPr>
            <w:tcW w:w="1696" w:type="dxa"/>
            <w:tcBorders>
              <w:top w:val="nil"/>
              <w:left w:val="nil"/>
              <w:bottom w:val="single" w:sz="4" w:space="0" w:color="auto"/>
              <w:right w:val="single" w:sz="4" w:space="0" w:color="auto"/>
            </w:tcBorders>
            <w:noWrap/>
            <w:vAlign w:val="bottom"/>
            <w:hideMark/>
          </w:tcPr>
          <w:p w:rsidR="00292D6C" w:rsidRDefault="00292D6C">
            <w:pPr>
              <w:ind w:firstLine="425"/>
              <w:jc w:val="center"/>
              <w:rPr>
                <w:sz w:val="20"/>
                <w:lang w:eastAsia="lt-LT"/>
              </w:rPr>
            </w:pPr>
            <w:r>
              <w:rPr>
                <w:sz w:val="20"/>
                <w:lang w:eastAsia="lt-LT"/>
              </w:rPr>
              <w:t>6,6</w:t>
            </w:r>
          </w:p>
        </w:tc>
        <w:tc>
          <w:tcPr>
            <w:tcW w:w="2126" w:type="dxa"/>
            <w:tcBorders>
              <w:top w:val="nil"/>
              <w:left w:val="nil"/>
              <w:bottom w:val="single" w:sz="4" w:space="0" w:color="auto"/>
              <w:right w:val="single" w:sz="4" w:space="0" w:color="auto"/>
            </w:tcBorders>
            <w:noWrap/>
            <w:vAlign w:val="bottom"/>
            <w:hideMark/>
          </w:tcPr>
          <w:p w:rsidR="00292D6C" w:rsidRDefault="00292D6C">
            <w:pPr>
              <w:ind w:firstLine="425"/>
              <w:jc w:val="center"/>
              <w:rPr>
                <w:sz w:val="20"/>
                <w:lang w:eastAsia="lt-LT"/>
              </w:rPr>
            </w:pPr>
            <w:r>
              <w:rPr>
                <w:sz w:val="20"/>
                <w:lang w:eastAsia="lt-LT"/>
              </w:rPr>
              <w:t>9,8</w:t>
            </w:r>
          </w:p>
        </w:tc>
      </w:tr>
      <w:tr w:rsidR="00292D6C" w:rsidTr="00292D6C">
        <w:trPr>
          <w:trHeight w:val="300"/>
        </w:trPr>
        <w:tc>
          <w:tcPr>
            <w:tcW w:w="4340" w:type="dxa"/>
            <w:tcBorders>
              <w:top w:val="nil"/>
              <w:left w:val="single" w:sz="4" w:space="0" w:color="auto"/>
              <w:bottom w:val="single" w:sz="4" w:space="0" w:color="auto"/>
              <w:right w:val="single" w:sz="4" w:space="0" w:color="auto"/>
            </w:tcBorders>
            <w:shd w:val="clear" w:color="auto" w:fill="D7E4BC"/>
            <w:vAlign w:val="bottom"/>
            <w:hideMark/>
          </w:tcPr>
          <w:p w:rsidR="00292D6C" w:rsidRDefault="00292D6C">
            <w:pPr>
              <w:ind w:firstLine="425"/>
              <w:jc w:val="both"/>
              <w:rPr>
                <w:b/>
                <w:bCs/>
                <w:sz w:val="20"/>
                <w:lang w:eastAsia="lt-LT"/>
              </w:rPr>
            </w:pPr>
            <w:r>
              <w:rPr>
                <w:b/>
                <w:bCs/>
                <w:sz w:val="20"/>
                <w:lang w:eastAsia="lt-LT"/>
              </w:rPr>
              <w:t>Prekių ir paslaugų naudojimas (7+8+9)</w:t>
            </w:r>
          </w:p>
        </w:tc>
        <w:tc>
          <w:tcPr>
            <w:tcW w:w="500" w:type="dxa"/>
            <w:tcBorders>
              <w:top w:val="nil"/>
              <w:left w:val="nil"/>
              <w:bottom w:val="single" w:sz="4" w:space="0" w:color="auto"/>
              <w:right w:val="single" w:sz="4" w:space="0" w:color="auto"/>
            </w:tcBorders>
            <w:shd w:val="clear" w:color="auto" w:fill="D7E4BC"/>
            <w:vAlign w:val="bottom"/>
            <w:hideMark/>
          </w:tcPr>
          <w:p w:rsidR="00292D6C" w:rsidRDefault="00292D6C">
            <w:pPr>
              <w:ind w:firstLine="425"/>
              <w:jc w:val="center"/>
              <w:rPr>
                <w:b/>
                <w:sz w:val="20"/>
                <w:lang w:eastAsia="lt-LT"/>
              </w:rPr>
            </w:pPr>
            <w:r>
              <w:rPr>
                <w:b/>
                <w:sz w:val="20"/>
                <w:lang w:eastAsia="lt-LT"/>
              </w:rPr>
              <w:t>6</w:t>
            </w:r>
          </w:p>
        </w:tc>
        <w:tc>
          <w:tcPr>
            <w:tcW w:w="1696" w:type="dxa"/>
            <w:tcBorders>
              <w:top w:val="nil"/>
              <w:left w:val="nil"/>
              <w:bottom w:val="single" w:sz="4" w:space="0" w:color="auto"/>
              <w:right w:val="single" w:sz="4" w:space="0" w:color="auto"/>
            </w:tcBorders>
            <w:shd w:val="clear" w:color="auto" w:fill="D7E4BC"/>
            <w:noWrap/>
            <w:vAlign w:val="bottom"/>
            <w:hideMark/>
          </w:tcPr>
          <w:p w:rsidR="00292D6C" w:rsidRDefault="00292D6C">
            <w:pPr>
              <w:ind w:firstLine="425"/>
              <w:jc w:val="center"/>
              <w:rPr>
                <w:b/>
                <w:sz w:val="20"/>
                <w:lang w:eastAsia="lt-LT"/>
              </w:rPr>
            </w:pPr>
            <w:r>
              <w:rPr>
                <w:b/>
                <w:sz w:val="20"/>
                <w:lang w:eastAsia="lt-LT"/>
              </w:rPr>
              <w:t>1,5</w:t>
            </w:r>
          </w:p>
        </w:tc>
        <w:tc>
          <w:tcPr>
            <w:tcW w:w="2126" w:type="dxa"/>
            <w:tcBorders>
              <w:top w:val="nil"/>
              <w:left w:val="nil"/>
              <w:bottom w:val="single" w:sz="4" w:space="0" w:color="auto"/>
              <w:right w:val="single" w:sz="4" w:space="0" w:color="auto"/>
            </w:tcBorders>
            <w:shd w:val="clear" w:color="auto" w:fill="D7E4BC"/>
            <w:noWrap/>
            <w:vAlign w:val="bottom"/>
            <w:hideMark/>
          </w:tcPr>
          <w:p w:rsidR="00292D6C" w:rsidRDefault="00292D6C">
            <w:pPr>
              <w:ind w:firstLine="425"/>
              <w:jc w:val="center"/>
              <w:rPr>
                <w:b/>
                <w:sz w:val="20"/>
                <w:lang w:eastAsia="lt-LT"/>
              </w:rPr>
            </w:pPr>
            <w:r>
              <w:rPr>
                <w:b/>
                <w:sz w:val="20"/>
                <w:lang w:eastAsia="lt-LT"/>
              </w:rPr>
              <w:t>2,8</w:t>
            </w:r>
          </w:p>
        </w:tc>
      </w:tr>
      <w:tr w:rsidR="00292D6C" w:rsidTr="00292D6C">
        <w:trPr>
          <w:trHeight w:val="300"/>
        </w:trPr>
        <w:tc>
          <w:tcPr>
            <w:tcW w:w="4340" w:type="dxa"/>
            <w:tcBorders>
              <w:top w:val="nil"/>
              <w:left w:val="single" w:sz="4" w:space="0" w:color="auto"/>
              <w:bottom w:val="single" w:sz="4" w:space="0" w:color="auto"/>
              <w:right w:val="single" w:sz="4" w:space="0" w:color="auto"/>
            </w:tcBorders>
            <w:vAlign w:val="bottom"/>
            <w:hideMark/>
          </w:tcPr>
          <w:p w:rsidR="00292D6C" w:rsidRDefault="00292D6C">
            <w:pPr>
              <w:ind w:firstLine="425"/>
              <w:jc w:val="both"/>
              <w:rPr>
                <w:sz w:val="20"/>
                <w:lang w:eastAsia="lt-LT"/>
              </w:rPr>
            </w:pPr>
            <w:r>
              <w:rPr>
                <w:sz w:val="20"/>
                <w:lang w:eastAsia="lt-LT"/>
              </w:rPr>
              <w:t xml:space="preserve">Ryšių paslaugos </w:t>
            </w:r>
          </w:p>
        </w:tc>
        <w:tc>
          <w:tcPr>
            <w:tcW w:w="500" w:type="dxa"/>
            <w:tcBorders>
              <w:top w:val="nil"/>
              <w:left w:val="nil"/>
              <w:bottom w:val="single" w:sz="4" w:space="0" w:color="auto"/>
              <w:right w:val="single" w:sz="4" w:space="0" w:color="auto"/>
            </w:tcBorders>
            <w:vAlign w:val="bottom"/>
            <w:hideMark/>
          </w:tcPr>
          <w:p w:rsidR="00292D6C" w:rsidRDefault="00292D6C">
            <w:pPr>
              <w:ind w:firstLine="425"/>
              <w:jc w:val="center"/>
              <w:rPr>
                <w:sz w:val="20"/>
                <w:lang w:eastAsia="lt-LT"/>
              </w:rPr>
            </w:pPr>
            <w:r>
              <w:rPr>
                <w:sz w:val="20"/>
                <w:lang w:eastAsia="lt-LT"/>
              </w:rPr>
              <w:t>7</w:t>
            </w:r>
          </w:p>
        </w:tc>
        <w:tc>
          <w:tcPr>
            <w:tcW w:w="1696" w:type="dxa"/>
            <w:tcBorders>
              <w:top w:val="nil"/>
              <w:left w:val="nil"/>
              <w:bottom w:val="single" w:sz="4" w:space="0" w:color="auto"/>
              <w:right w:val="single" w:sz="4" w:space="0" w:color="auto"/>
            </w:tcBorders>
            <w:noWrap/>
            <w:vAlign w:val="bottom"/>
            <w:hideMark/>
          </w:tcPr>
          <w:p w:rsidR="00292D6C" w:rsidRDefault="00292D6C">
            <w:pPr>
              <w:ind w:firstLine="425"/>
              <w:jc w:val="center"/>
              <w:rPr>
                <w:sz w:val="20"/>
                <w:lang w:eastAsia="lt-LT"/>
              </w:rPr>
            </w:pPr>
            <w:r>
              <w:rPr>
                <w:sz w:val="20"/>
                <w:lang w:eastAsia="lt-LT"/>
              </w:rPr>
              <w:t>0,7</w:t>
            </w:r>
          </w:p>
        </w:tc>
        <w:tc>
          <w:tcPr>
            <w:tcW w:w="2126" w:type="dxa"/>
            <w:tcBorders>
              <w:top w:val="nil"/>
              <w:left w:val="nil"/>
              <w:bottom w:val="single" w:sz="4" w:space="0" w:color="auto"/>
              <w:right w:val="single" w:sz="4" w:space="0" w:color="auto"/>
            </w:tcBorders>
            <w:noWrap/>
            <w:vAlign w:val="bottom"/>
            <w:hideMark/>
          </w:tcPr>
          <w:p w:rsidR="00292D6C" w:rsidRDefault="00292D6C">
            <w:pPr>
              <w:ind w:firstLine="425"/>
              <w:jc w:val="center"/>
              <w:rPr>
                <w:sz w:val="20"/>
                <w:lang w:eastAsia="lt-LT"/>
              </w:rPr>
            </w:pPr>
            <w:r>
              <w:rPr>
                <w:sz w:val="20"/>
                <w:lang w:eastAsia="lt-LT"/>
              </w:rPr>
              <w:t>0,6</w:t>
            </w:r>
          </w:p>
        </w:tc>
      </w:tr>
      <w:tr w:rsidR="00292D6C" w:rsidTr="00292D6C">
        <w:trPr>
          <w:trHeight w:val="300"/>
        </w:trPr>
        <w:tc>
          <w:tcPr>
            <w:tcW w:w="4340" w:type="dxa"/>
            <w:tcBorders>
              <w:top w:val="nil"/>
              <w:left w:val="single" w:sz="4" w:space="0" w:color="auto"/>
              <w:bottom w:val="single" w:sz="4" w:space="0" w:color="auto"/>
              <w:right w:val="single" w:sz="4" w:space="0" w:color="auto"/>
            </w:tcBorders>
            <w:vAlign w:val="bottom"/>
            <w:hideMark/>
          </w:tcPr>
          <w:p w:rsidR="00292D6C" w:rsidRDefault="00292D6C">
            <w:pPr>
              <w:ind w:firstLine="425"/>
              <w:jc w:val="both"/>
              <w:rPr>
                <w:sz w:val="20"/>
                <w:lang w:eastAsia="lt-LT"/>
              </w:rPr>
            </w:pPr>
            <w:r>
              <w:rPr>
                <w:sz w:val="20"/>
                <w:lang w:eastAsia="lt-LT"/>
              </w:rPr>
              <w:t>Transporto išlaikymas</w:t>
            </w:r>
          </w:p>
        </w:tc>
        <w:tc>
          <w:tcPr>
            <w:tcW w:w="500" w:type="dxa"/>
            <w:tcBorders>
              <w:top w:val="nil"/>
              <w:left w:val="nil"/>
              <w:bottom w:val="single" w:sz="4" w:space="0" w:color="auto"/>
              <w:right w:val="single" w:sz="4" w:space="0" w:color="auto"/>
            </w:tcBorders>
            <w:vAlign w:val="bottom"/>
            <w:hideMark/>
          </w:tcPr>
          <w:p w:rsidR="00292D6C" w:rsidRDefault="00292D6C">
            <w:pPr>
              <w:ind w:firstLine="425"/>
              <w:jc w:val="center"/>
              <w:rPr>
                <w:sz w:val="20"/>
                <w:lang w:eastAsia="lt-LT"/>
              </w:rPr>
            </w:pPr>
            <w:r>
              <w:rPr>
                <w:sz w:val="20"/>
                <w:lang w:eastAsia="lt-LT"/>
              </w:rPr>
              <w:t>8</w:t>
            </w:r>
          </w:p>
        </w:tc>
        <w:tc>
          <w:tcPr>
            <w:tcW w:w="1696" w:type="dxa"/>
            <w:tcBorders>
              <w:top w:val="nil"/>
              <w:left w:val="nil"/>
              <w:bottom w:val="single" w:sz="4" w:space="0" w:color="auto"/>
              <w:right w:val="single" w:sz="4" w:space="0" w:color="auto"/>
            </w:tcBorders>
            <w:noWrap/>
            <w:vAlign w:val="bottom"/>
          </w:tcPr>
          <w:p w:rsidR="00292D6C" w:rsidRDefault="00292D6C">
            <w:pPr>
              <w:ind w:firstLine="425"/>
              <w:jc w:val="center"/>
              <w:rPr>
                <w:sz w:val="20"/>
                <w:lang w:eastAsia="lt-LT"/>
              </w:rPr>
            </w:pPr>
          </w:p>
        </w:tc>
        <w:tc>
          <w:tcPr>
            <w:tcW w:w="2126" w:type="dxa"/>
            <w:tcBorders>
              <w:top w:val="nil"/>
              <w:left w:val="nil"/>
              <w:bottom w:val="single" w:sz="4" w:space="0" w:color="auto"/>
              <w:right w:val="single" w:sz="4" w:space="0" w:color="auto"/>
            </w:tcBorders>
            <w:noWrap/>
            <w:vAlign w:val="bottom"/>
            <w:hideMark/>
          </w:tcPr>
          <w:p w:rsidR="00292D6C" w:rsidRDefault="00292D6C">
            <w:pPr>
              <w:ind w:firstLine="425"/>
              <w:jc w:val="center"/>
              <w:rPr>
                <w:sz w:val="20"/>
                <w:lang w:eastAsia="lt-LT"/>
              </w:rPr>
            </w:pPr>
            <w:r>
              <w:rPr>
                <w:sz w:val="20"/>
                <w:lang w:eastAsia="lt-LT"/>
              </w:rPr>
              <w:t>0,1</w:t>
            </w:r>
          </w:p>
        </w:tc>
      </w:tr>
      <w:tr w:rsidR="00292D6C" w:rsidTr="00292D6C">
        <w:trPr>
          <w:trHeight w:val="300"/>
        </w:trPr>
        <w:tc>
          <w:tcPr>
            <w:tcW w:w="4340" w:type="dxa"/>
            <w:tcBorders>
              <w:top w:val="nil"/>
              <w:left w:val="single" w:sz="4" w:space="0" w:color="auto"/>
              <w:bottom w:val="single" w:sz="4" w:space="0" w:color="auto"/>
              <w:right w:val="single" w:sz="4" w:space="0" w:color="auto"/>
            </w:tcBorders>
            <w:vAlign w:val="bottom"/>
            <w:hideMark/>
          </w:tcPr>
          <w:p w:rsidR="00292D6C" w:rsidRDefault="00292D6C">
            <w:pPr>
              <w:ind w:firstLine="425"/>
              <w:jc w:val="both"/>
              <w:rPr>
                <w:sz w:val="20"/>
                <w:lang w:eastAsia="lt-LT"/>
              </w:rPr>
            </w:pPr>
            <w:r>
              <w:rPr>
                <w:sz w:val="20"/>
                <w:lang w:eastAsia="lt-LT"/>
              </w:rPr>
              <w:t>Kitos prekės</w:t>
            </w:r>
          </w:p>
        </w:tc>
        <w:tc>
          <w:tcPr>
            <w:tcW w:w="500" w:type="dxa"/>
            <w:tcBorders>
              <w:top w:val="nil"/>
              <w:left w:val="nil"/>
              <w:bottom w:val="single" w:sz="4" w:space="0" w:color="auto"/>
              <w:right w:val="single" w:sz="4" w:space="0" w:color="auto"/>
            </w:tcBorders>
            <w:vAlign w:val="bottom"/>
            <w:hideMark/>
          </w:tcPr>
          <w:p w:rsidR="00292D6C" w:rsidRDefault="00292D6C">
            <w:pPr>
              <w:ind w:firstLine="425"/>
              <w:jc w:val="center"/>
              <w:rPr>
                <w:sz w:val="20"/>
                <w:lang w:eastAsia="lt-LT"/>
              </w:rPr>
            </w:pPr>
            <w:r>
              <w:rPr>
                <w:sz w:val="20"/>
                <w:lang w:eastAsia="lt-LT"/>
              </w:rPr>
              <w:t>9</w:t>
            </w:r>
          </w:p>
        </w:tc>
        <w:tc>
          <w:tcPr>
            <w:tcW w:w="1696" w:type="dxa"/>
            <w:tcBorders>
              <w:top w:val="nil"/>
              <w:left w:val="nil"/>
              <w:bottom w:val="single" w:sz="4" w:space="0" w:color="auto"/>
              <w:right w:val="single" w:sz="4" w:space="0" w:color="auto"/>
            </w:tcBorders>
            <w:noWrap/>
            <w:vAlign w:val="bottom"/>
          </w:tcPr>
          <w:p w:rsidR="00292D6C" w:rsidRDefault="00292D6C">
            <w:pPr>
              <w:ind w:firstLine="425"/>
              <w:jc w:val="center"/>
              <w:rPr>
                <w:sz w:val="20"/>
                <w:lang w:eastAsia="lt-LT"/>
              </w:rPr>
            </w:pPr>
          </w:p>
        </w:tc>
        <w:tc>
          <w:tcPr>
            <w:tcW w:w="2126" w:type="dxa"/>
            <w:tcBorders>
              <w:top w:val="nil"/>
              <w:left w:val="nil"/>
              <w:bottom w:val="single" w:sz="4" w:space="0" w:color="auto"/>
              <w:right w:val="single" w:sz="4" w:space="0" w:color="auto"/>
            </w:tcBorders>
            <w:noWrap/>
            <w:vAlign w:val="bottom"/>
            <w:hideMark/>
          </w:tcPr>
          <w:p w:rsidR="00292D6C" w:rsidRDefault="00292D6C">
            <w:pPr>
              <w:ind w:firstLine="425"/>
              <w:jc w:val="center"/>
              <w:rPr>
                <w:sz w:val="20"/>
                <w:lang w:eastAsia="lt-LT"/>
              </w:rPr>
            </w:pPr>
            <w:r>
              <w:rPr>
                <w:sz w:val="20"/>
                <w:lang w:eastAsia="lt-LT"/>
              </w:rPr>
              <w:t>0,2</w:t>
            </w:r>
          </w:p>
        </w:tc>
      </w:tr>
      <w:tr w:rsidR="00292D6C" w:rsidTr="00292D6C">
        <w:trPr>
          <w:trHeight w:val="300"/>
        </w:trPr>
        <w:tc>
          <w:tcPr>
            <w:tcW w:w="4340" w:type="dxa"/>
            <w:tcBorders>
              <w:top w:val="single" w:sz="4" w:space="0" w:color="auto"/>
              <w:left w:val="single" w:sz="4" w:space="0" w:color="auto"/>
              <w:bottom w:val="single" w:sz="4" w:space="0" w:color="auto"/>
              <w:right w:val="single" w:sz="4" w:space="0" w:color="auto"/>
            </w:tcBorders>
            <w:vAlign w:val="bottom"/>
            <w:hideMark/>
          </w:tcPr>
          <w:p w:rsidR="00292D6C" w:rsidRDefault="00292D6C">
            <w:pPr>
              <w:ind w:firstLine="425"/>
              <w:jc w:val="both"/>
              <w:rPr>
                <w:sz w:val="20"/>
                <w:lang w:eastAsia="lt-LT"/>
              </w:rPr>
            </w:pPr>
            <w:r>
              <w:rPr>
                <w:sz w:val="20"/>
                <w:lang w:eastAsia="lt-LT"/>
              </w:rPr>
              <w:t>Komunalinės paslaugos</w:t>
            </w:r>
          </w:p>
        </w:tc>
        <w:tc>
          <w:tcPr>
            <w:tcW w:w="500" w:type="dxa"/>
            <w:tcBorders>
              <w:top w:val="single" w:sz="4" w:space="0" w:color="auto"/>
              <w:left w:val="nil"/>
              <w:bottom w:val="single" w:sz="4" w:space="0" w:color="auto"/>
              <w:right w:val="single" w:sz="4" w:space="0" w:color="auto"/>
            </w:tcBorders>
            <w:vAlign w:val="bottom"/>
            <w:hideMark/>
          </w:tcPr>
          <w:p w:rsidR="00292D6C" w:rsidRDefault="00292D6C">
            <w:pPr>
              <w:ind w:firstLine="425"/>
              <w:jc w:val="center"/>
              <w:rPr>
                <w:sz w:val="20"/>
                <w:lang w:eastAsia="lt-LT"/>
              </w:rPr>
            </w:pPr>
            <w:r>
              <w:rPr>
                <w:sz w:val="20"/>
                <w:lang w:eastAsia="lt-LT"/>
              </w:rPr>
              <w:t>10</w:t>
            </w:r>
          </w:p>
        </w:tc>
        <w:tc>
          <w:tcPr>
            <w:tcW w:w="1696" w:type="dxa"/>
            <w:tcBorders>
              <w:top w:val="single" w:sz="4" w:space="0" w:color="auto"/>
              <w:left w:val="nil"/>
              <w:bottom w:val="single" w:sz="4" w:space="0" w:color="auto"/>
              <w:right w:val="single" w:sz="4" w:space="0" w:color="auto"/>
            </w:tcBorders>
            <w:noWrap/>
            <w:vAlign w:val="bottom"/>
            <w:hideMark/>
          </w:tcPr>
          <w:p w:rsidR="00292D6C" w:rsidRDefault="00292D6C">
            <w:pPr>
              <w:ind w:firstLine="425"/>
              <w:jc w:val="center"/>
              <w:rPr>
                <w:sz w:val="20"/>
                <w:lang w:eastAsia="lt-LT"/>
              </w:rPr>
            </w:pPr>
            <w:r>
              <w:rPr>
                <w:sz w:val="20"/>
                <w:lang w:eastAsia="lt-LT"/>
              </w:rPr>
              <w:t>0,8</w:t>
            </w:r>
          </w:p>
        </w:tc>
        <w:tc>
          <w:tcPr>
            <w:tcW w:w="2126" w:type="dxa"/>
            <w:tcBorders>
              <w:top w:val="single" w:sz="4" w:space="0" w:color="auto"/>
              <w:left w:val="nil"/>
              <w:bottom w:val="single" w:sz="4" w:space="0" w:color="auto"/>
              <w:right w:val="single" w:sz="4" w:space="0" w:color="auto"/>
            </w:tcBorders>
            <w:noWrap/>
            <w:vAlign w:val="bottom"/>
            <w:hideMark/>
          </w:tcPr>
          <w:p w:rsidR="00292D6C" w:rsidRDefault="00292D6C">
            <w:pPr>
              <w:ind w:firstLine="425"/>
              <w:jc w:val="center"/>
              <w:rPr>
                <w:sz w:val="20"/>
                <w:lang w:eastAsia="lt-LT"/>
              </w:rPr>
            </w:pPr>
            <w:r>
              <w:rPr>
                <w:sz w:val="20"/>
                <w:lang w:eastAsia="lt-LT"/>
              </w:rPr>
              <w:t>1,8</w:t>
            </w:r>
          </w:p>
        </w:tc>
      </w:tr>
      <w:tr w:rsidR="00292D6C" w:rsidTr="00292D6C">
        <w:trPr>
          <w:trHeight w:val="300"/>
        </w:trPr>
        <w:tc>
          <w:tcPr>
            <w:tcW w:w="4340" w:type="dxa"/>
            <w:tcBorders>
              <w:top w:val="single" w:sz="4" w:space="0" w:color="auto"/>
              <w:left w:val="single" w:sz="4" w:space="0" w:color="auto"/>
              <w:bottom w:val="single" w:sz="4" w:space="0" w:color="auto"/>
              <w:right w:val="single" w:sz="4" w:space="0" w:color="auto"/>
            </w:tcBorders>
            <w:vAlign w:val="bottom"/>
            <w:hideMark/>
          </w:tcPr>
          <w:p w:rsidR="00292D6C" w:rsidRDefault="00292D6C">
            <w:pPr>
              <w:ind w:firstLine="425"/>
              <w:jc w:val="both"/>
              <w:rPr>
                <w:sz w:val="20"/>
                <w:lang w:eastAsia="lt-LT"/>
              </w:rPr>
            </w:pPr>
            <w:r>
              <w:rPr>
                <w:sz w:val="20"/>
                <w:lang w:eastAsia="lt-LT"/>
              </w:rPr>
              <w:t>Kitos paslaugos</w:t>
            </w:r>
          </w:p>
        </w:tc>
        <w:tc>
          <w:tcPr>
            <w:tcW w:w="500" w:type="dxa"/>
            <w:tcBorders>
              <w:top w:val="single" w:sz="4" w:space="0" w:color="auto"/>
              <w:left w:val="nil"/>
              <w:bottom w:val="single" w:sz="4" w:space="0" w:color="auto"/>
              <w:right w:val="single" w:sz="4" w:space="0" w:color="auto"/>
            </w:tcBorders>
            <w:vAlign w:val="bottom"/>
            <w:hideMark/>
          </w:tcPr>
          <w:p w:rsidR="00292D6C" w:rsidRDefault="00292D6C">
            <w:pPr>
              <w:ind w:firstLine="425"/>
              <w:jc w:val="center"/>
              <w:rPr>
                <w:sz w:val="20"/>
                <w:lang w:eastAsia="lt-LT"/>
              </w:rPr>
            </w:pPr>
            <w:r>
              <w:rPr>
                <w:sz w:val="20"/>
                <w:lang w:eastAsia="lt-LT"/>
              </w:rPr>
              <w:t>11</w:t>
            </w:r>
          </w:p>
        </w:tc>
        <w:tc>
          <w:tcPr>
            <w:tcW w:w="1696" w:type="dxa"/>
            <w:tcBorders>
              <w:top w:val="single" w:sz="4" w:space="0" w:color="auto"/>
              <w:left w:val="nil"/>
              <w:bottom w:val="single" w:sz="4" w:space="0" w:color="auto"/>
              <w:right w:val="single" w:sz="4" w:space="0" w:color="auto"/>
            </w:tcBorders>
            <w:noWrap/>
            <w:vAlign w:val="bottom"/>
          </w:tcPr>
          <w:p w:rsidR="00292D6C" w:rsidRDefault="00292D6C">
            <w:pPr>
              <w:ind w:firstLine="425"/>
              <w:jc w:val="center"/>
              <w:rPr>
                <w:sz w:val="20"/>
                <w:lang w:eastAsia="lt-LT"/>
              </w:rPr>
            </w:pPr>
          </w:p>
        </w:tc>
        <w:tc>
          <w:tcPr>
            <w:tcW w:w="2126" w:type="dxa"/>
            <w:tcBorders>
              <w:top w:val="single" w:sz="4" w:space="0" w:color="auto"/>
              <w:left w:val="nil"/>
              <w:bottom w:val="single" w:sz="4" w:space="0" w:color="auto"/>
              <w:right w:val="single" w:sz="4" w:space="0" w:color="auto"/>
            </w:tcBorders>
            <w:noWrap/>
            <w:vAlign w:val="bottom"/>
            <w:hideMark/>
          </w:tcPr>
          <w:p w:rsidR="00292D6C" w:rsidRDefault="00292D6C">
            <w:pPr>
              <w:ind w:firstLine="425"/>
              <w:jc w:val="center"/>
              <w:rPr>
                <w:sz w:val="20"/>
                <w:lang w:eastAsia="lt-LT"/>
              </w:rPr>
            </w:pPr>
            <w:r>
              <w:rPr>
                <w:sz w:val="20"/>
                <w:lang w:eastAsia="lt-LT"/>
              </w:rPr>
              <w:t>0,1</w:t>
            </w:r>
          </w:p>
        </w:tc>
      </w:tr>
    </w:tbl>
    <w:p w:rsidR="00292D6C" w:rsidRDefault="00292D6C" w:rsidP="00292D6C">
      <w:pPr>
        <w:spacing w:line="360" w:lineRule="auto"/>
        <w:ind w:firstLine="720"/>
        <w:jc w:val="both"/>
        <w:rPr>
          <w:szCs w:val="24"/>
        </w:rPr>
      </w:pPr>
    </w:p>
    <w:p w:rsidR="00292D6C" w:rsidRDefault="00292D6C" w:rsidP="00292D6C">
      <w:pPr>
        <w:spacing w:line="360" w:lineRule="auto"/>
        <w:ind w:firstLine="720"/>
        <w:jc w:val="both"/>
      </w:pPr>
      <w:r>
        <w:t>Gautinų sumų 2017 m. gruodžio 31 d. teismas neturėjo.</w:t>
      </w:r>
    </w:p>
    <w:p w:rsidR="00292D6C" w:rsidRDefault="00292D6C" w:rsidP="00292D6C">
      <w:pPr>
        <w:autoSpaceDE w:val="0"/>
        <w:autoSpaceDN w:val="0"/>
        <w:adjustRightInd w:val="0"/>
        <w:spacing w:line="360" w:lineRule="auto"/>
        <w:ind w:firstLine="720"/>
        <w:jc w:val="both"/>
        <w:rPr>
          <w:lang w:eastAsia="en-GB"/>
        </w:rPr>
      </w:pPr>
      <w:r>
        <w:rPr>
          <w:lang w:eastAsia="en-GB"/>
        </w:rPr>
        <w:t>Teismo finansavimas vienas iš tiesiogiai teismo veiklą įtakojančių ekonominių veiksnių: tik pakankamas finansavimas leidžia sudaryti darbuotojams normalias darbo sąlygas, aprūpinti būtinomis darbui priemonėmis, sudaryti palankias sąlygas kvalifikacijos kėlimui.</w:t>
      </w:r>
    </w:p>
    <w:p w:rsidR="00292D6C" w:rsidRDefault="00292D6C" w:rsidP="008555E3">
      <w:pPr>
        <w:shd w:val="clear" w:color="auto" w:fill="FFFFFF"/>
        <w:spacing w:line="413" w:lineRule="exact"/>
        <w:ind w:left="10" w:firstLine="648"/>
        <w:jc w:val="center"/>
        <w:rPr>
          <w:b/>
          <w:sz w:val="32"/>
          <w:szCs w:val="24"/>
        </w:rPr>
      </w:pPr>
    </w:p>
    <w:p w:rsidR="00C0440E" w:rsidRDefault="00C0440E" w:rsidP="008555E3">
      <w:pPr>
        <w:shd w:val="clear" w:color="auto" w:fill="FFFFFF"/>
        <w:spacing w:line="413" w:lineRule="exact"/>
        <w:ind w:left="10" w:firstLine="648"/>
        <w:jc w:val="center"/>
        <w:rPr>
          <w:b/>
          <w:sz w:val="32"/>
          <w:szCs w:val="24"/>
        </w:rPr>
      </w:pPr>
    </w:p>
    <w:p w:rsidR="00C0440E" w:rsidRDefault="00C0440E" w:rsidP="008555E3">
      <w:pPr>
        <w:shd w:val="clear" w:color="auto" w:fill="FFFFFF"/>
        <w:spacing w:line="413" w:lineRule="exact"/>
        <w:ind w:left="10" w:firstLine="648"/>
        <w:jc w:val="center"/>
        <w:rPr>
          <w:b/>
          <w:sz w:val="32"/>
          <w:szCs w:val="24"/>
        </w:rPr>
      </w:pPr>
    </w:p>
    <w:p w:rsidR="008555E3" w:rsidRPr="00F621BC" w:rsidRDefault="008555E3" w:rsidP="008555E3">
      <w:pPr>
        <w:shd w:val="clear" w:color="auto" w:fill="FFFFFF"/>
        <w:spacing w:line="413" w:lineRule="exact"/>
        <w:ind w:left="10" w:firstLine="648"/>
        <w:jc w:val="center"/>
        <w:rPr>
          <w:b/>
          <w:sz w:val="32"/>
          <w:szCs w:val="24"/>
        </w:rPr>
      </w:pPr>
      <w:r w:rsidRPr="00F621BC">
        <w:rPr>
          <w:b/>
          <w:sz w:val="32"/>
          <w:szCs w:val="24"/>
        </w:rPr>
        <w:lastRenderedPageBreak/>
        <w:t xml:space="preserve">V. </w:t>
      </w:r>
      <w:r w:rsidRPr="00F621BC">
        <w:rPr>
          <w:b/>
          <w:sz w:val="32"/>
        </w:rPr>
        <w:t>Ryšiai su visuomene ir žiniasklaida</w:t>
      </w:r>
    </w:p>
    <w:p w:rsidR="008555E3" w:rsidRPr="00F621BC" w:rsidRDefault="008555E3" w:rsidP="008555E3">
      <w:pPr>
        <w:pStyle w:val="Betarp"/>
      </w:pPr>
    </w:p>
    <w:p w:rsidR="00DC4DA4" w:rsidRPr="00F621BC" w:rsidRDefault="008555E3" w:rsidP="008555E3">
      <w:pPr>
        <w:shd w:val="clear" w:color="auto" w:fill="FFFFFF"/>
        <w:spacing w:line="413" w:lineRule="exact"/>
        <w:ind w:left="10" w:firstLine="648"/>
        <w:jc w:val="both"/>
        <w:rPr>
          <w:szCs w:val="24"/>
        </w:rPr>
      </w:pPr>
      <w:r w:rsidRPr="00F621BC">
        <w:rPr>
          <w:szCs w:val="24"/>
        </w:rPr>
        <w:t xml:space="preserve">2017 metais </w:t>
      </w:r>
      <w:r w:rsidR="00E759D3" w:rsidRPr="00F621BC">
        <w:rPr>
          <w:szCs w:val="24"/>
        </w:rPr>
        <w:t xml:space="preserve">informacija </w:t>
      </w:r>
      <w:r w:rsidR="00C0440E">
        <w:rPr>
          <w:szCs w:val="24"/>
        </w:rPr>
        <w:t xml:space="preserve">apie </w:t>
      </w:r>
      <w:r w:rsidR="00E759D3" w:rsidRPr="00F621BC">
        <w:rPr>
          <w:szCs w:val="24"/>
        </w:rPr>
        <w:t xml:space="preserve">teisme išnagrinėtas </w:t>
      </w:r>
      <w:r w:rsidR="00081B62" w:rsidRPr="00F621BC">
        <w:rPr>
          <w:szCs w:val="24"/>
        </w:rPr>
        <w:t>bei</w:t>
      </w:r>
      <w:r w:rsidR="00E759D3" w:rsidRPr="00F621BC">
        <w:rPr>
          <w:szCs w:val="24"/>
        </w:rPr>
        <w:t xml:space="preserve"> visuomenės susidomėjimą keliančias bylas žiniasklaidai nuolat buvo teikiama telefonu, elektroniniu paštu bei skelbiant</w:t>
      </w:r>
      <w:r w:rsidR="00CF4C24" w:rsidRPr="00F621BC">
        <w:rPr>
          <w:szCs w:val="24"/>
        </w:rPr>
        <w:t xml:space="preserve"> Panevėžio apygardos teismų</w:t>
      </w:r>
      <w:r w:rsidR="00E759D3" w:rsidRPr="00F621BC">
        <w:rPr>
          <w:szCs w:val="24"/>
        </w:rPr>
        <w:t xml:space="preserve"> </w:t>
      </w:r>
      <w:r w:rsidR="0017559A" w:rsidRPr="00F621BC">
        <w:rPr>
          <w:szCs w:val="24"/>
        </w:rPr>
        <w:t xml:space="preserve">interneto svetainėje. </w:t>
      </w:r>
      <w:r w:rsidR="00B56855" w:rsidRPr="00F621BC">
        <w:rPr>
          <w:szCs w:val="24"/>
        </w:rPr>
        <w:t>Dažniausia</w:t>
      </w:r>
      <w:r w:rsidR="0020250E" w:rsidRPr="00F621BC">
        <w:rPr>
          <w:szCs w:val="24"/>
        </w:rPr>
        <w:t>i</w:t>
      </w:r>
      <w:r w:rsidR="00B56855" w:rsidRPr="00F621BC">
        <w:rPr>
          <w:szCs w:val="24"/>
        </w:rPr>
        <w:t xml:space="preserve"> informacija apie visuomenės susidomėjimą keliančias bylas</w:t>
      </w:r>
      <w:r w:rsidR="009E0FED" w:rsidRPr="00F621BC">
        <w:rPr>
          <w:szCs w:val="24"/>
        </w:rPr>
        <w:t xml:space="preserve"> žiniasklaidos priemonėms buvo pagal paklausimus dėl konkrečių bylų teikiama telefonu. 2017 metais informacija tokioms žiniasklaidos priemonėms</w:t>
      </w:r>
      <w:r w:rsidR="0020250E" w:rsidRPr="00F621BC">
        <w:rPr>
          <w:szCs w:val="24"/>
        </w:rPr>
        <w:t xml:space="preserve">, </w:t>
      </w:r>
      <w:r w:rsidR="009E0FED" w:rsidRPr="00F621BC">
        <w:rPr>
          <w:szCs w:val="24"/>
        </w:rPr>
        <w:t>kaip naujienų agentūra</w:t>
      </w:r>
      <w:r w:rsidR="0020250E" w:rsidRPr="00F621BC">
        <w:rPr>
          <w:szCs w:val="24"/>
        </w:rPr>
        <w:t xml:space="preserve"> </w:t>
      </w:r>
      <w:r w:rsidR="009E0FED" w:rsidRPr="00F621BC">
        <w:rPr>
          <w:szCs w:val="24"/>
        </w:rPr>
        <w:t xml:space="preserve">„BNS“, leidiniai </w:t>
      </w:r>
      <w:r w:rsidR="0020250E" w:rsidRPr="00F621BC">
        <w:rPr>
          <w:szCs w:val="24"/>
        </w:rPr>
        <w:t>Panevėžio kraštas”, „Sekundė“, „Valstiečių laikraštis“, „Kupiškėnų mintys“ ir „Šiaurės rytai“ telefonu buvo teikiama</w:t>
      </w:r>
      <w:r w:rsidR="0020250E" w:rsidRPr="00F621BC">
        <w:rPr>
          <w:color w:val="FF0000"/>
          <w:szCs w:val="24"/>
        </w:rPr>
        <w:t xml:space="preserve"> </w:t>
      </w:r>
      <w:r w:rsidR="0020250E" w:rsidRPr="00F621BC">
        <w:rPr>
          <w:szCs w:val="24"/>
        </w:rPr>
        <w:t>nuolat. Iš viso per metus gauta ir atsakyta daugiau nei dvidešimt tokių paklausimų.</w:t>
      </w:r>
      <w:r w:rsidR="005D1782" w:rsidRPr="00F621BC">
        <w:rPr>
          <w:szCs w:val="24"/>
        </w:rPr>
        <w:t xml:space="preserve"> </w:t>
      </w:r>
      <w:r w:rsidR="00DC4DA4" w:rsidRPr="00F621BC">
        <w:rPr>
          <w:szCs w:val="24"/>
        </w:rPr>
        <w:t xml:space="preserve">Taip pat </w:t>
      </w:r>
      <w:r w:rsidR="005D1782" w:rsidRPr="00F621BC">
        <w:rPr>
          <w:szCs w:val="24"/>
        </w:rPr>
        <w:t xml:space="preserve">minėtų žiniasklaidos priemonių atstovų prašymu buvo </w:t>
      </w:r>
      <w:r w:rsidR="00F30351" w:rsidRPr="00F621BC">
        <w:rPr>
          <w:szCs w:val="24"/>
        </w:rPr>
        <w:t>rengiamos</w:t>
      </w:r>
      <w:r w:rsidR="005D1782" w:rsidRPr="00F621BC">
        <w:rPr>
          <w:szCs w:val="24"/>
        </w:rPr>
        <w:t xml:space="preserve"> ir jiems </w:t>
      </w:r>
      <w:r w:rsidR="00F30351" w:rsidRPr="00F621BC">
        <w:rPr>
          <w:szCs w:val="24"/>
        </w:rPr>
        <w:t>išsiunčiamos</w:t>
      </w:r>
      <w:r w:rsidR="005D1782" w:rsidRPr="00F621BC">
        <w:rPr>
          <w:szCs w:val="24"/>
        </w:rPr>
        <w:t xml:space="preserve"> visuomenės susidomėjimą keliančiose bylose priimtų teismo procesinių sprendimų nuasmenintos versijos.</w:t>
      </w:r>
      <w:r w:rsidR="00DC4DA4" w:rsidRPr="00F621BC">
        <w:rPr>
          <w:szCs w:val="24"/>
        </w:rPr>
        <w:t xml:space="preserve"> </w:t>
      </w:r>
      <w:r w:rsidR="00F30351" w:rsidRPr="00F621BC">
        <w:rPr>
          <w:szCs w:val="24"/>
        </w:rPr>
        <w:t xml:space="preserve">Iš viso 2017 metais tokių prašymų gauta dėl devynių teismo procesinių sprendimų. </w:t>
      </w:r>
      <w:r w:rsidR="00DC4DA4" w:rsidRPr="00F621BC">
        <w:rPr>
          <w:szCs w:val="24"/>
        </w:rPr>
        <w:t xml:space="preserve">Pažymėtina, </w:t>
      </w:r>
      <w:r w:rsidR="00DE4CCB" w:rsidRPr="00F621BC">
        <w:rPr>
          <w:szCs w:val="24"/>
        </w:rPr>
        <w:t xml:space="preserve">jog </w:t>
      </w:r>
      <w:r w:rsidRPr="00F621BC">
        <w:rPr>
          <w:szCs w:val="24"/>
        </w:rPr>
        <w:t xml:space="preserve">2017 metais dėl intensyvių pasirengimo </w:t>
      </w:r>
      <w:r w:rsidR="00DC4DA4" w:rsidRPr="00F621BC">
        <w:rPr>
          <w:szCs w:val="24"/>
        </w:rPr>
        <w:t xml:space="preserve">būsimajam </w:t>
      </w:r>
      <w:r w:rsidRPr="00F621BC">
        <w:rPr>
          <w:szCs w:val="24"/>
        </w:rPr>
        <w:t>teismo reorganizavimui darbų</w:t>
      </w:r>
      <w:r w:rsidR="00DE4CCB" w:rsidRPr="00F621BC">
        <w:rPr>
          <w:szCs w:val="24"/>
        </w:rPr>
        <w:t xml:space="preserve"> </w:t>
      </w:r>
      <w:r w:rsidR="00F30351" w:rsidRPr="00F621BC">
        <w:rPr>
          <w:szCs w:val="24"/>
        </w:rPr>
        <w:t>teismas</w:t>
      </w:r>
      <w:r w:rsidR="00DC4DA4" w:rsidRPr="00F621BC">
        <w:rPr>
          <w:szCs w:val="24"/>
        </w:rPr>
        <w:t xml:space="preserve"> turėjo </w:t>
      </w:r>
      <w:r w:rsidR="00F30351" w:rsidRPr="00F621BC">
        <w:rPr>
          <w:szCs w:val="24"/>
        </w:rPr>
        <w:t xml:space="preserve">labai ribotas </w:t>
      </w:r>
      <w:r w:rsidR="00DC4DA4" w:rsidRPr="00F621BC">
        <w:rPr>
          <w:szCs w:val="24"/>
        </w:rPr>
        <w:t>galimyb</w:t>
      </w:r>
      <w:r w:rsidR="00F30351" w:rsidRPr="00F621BC">
        <w:rPr>
          <w:szCs w:val="24"/>
        </w:rPr>
        <w:t>es</w:t>
      </w:r>
      <w:r w:rsidR="00DC4DA4" w:rsidRPr="00F621BC">
        <w:rPr>
          <w:szCs w:val="24"/>
        </w:rPr>
        <w:t xml:space="preserve"> </w:t>
      </w:r>
      <w:r w:rsidR="00F30351" w:rsidRPr="00F621BC">
        <w:rPr>
          <w:szCs w:val="24"/>
        </w:rPr>
        <w:t xml:space="preserve">skelbti atskirus pranešimus spaudai apie kiekvieną didesnio ar mažesnio žiniasklaidos susidomėjimo sulaukusią bylą, </w:t>
      </w:r>
      <w:r w:rsidR="00DE4CCB" w:rsidRPr="00F621BC">
        <w:rPr>
          <w:szCs w:val="24"/>
        </w:rPr>
        <w:t xml:space="preserve">todėl buvo </w:t>
      </w:r>
      <w:r w:rsidR="00F30351" w:rsidRPr="00F621BC">
        <w:rPr>
          <w:szCs w:val="24"/>
        </w:rPr>
        <w:t xml:space="preserve">paskelbti tik keli tokio pobūdžio pranešimai.      </w:t>
      </w:r>
      <w:r w:rsidR="00DC4DA4" w:rsidRPr="00F621BC">
        <w:rPr>
          <w:szCs w:val="24"/>
        </w:rPr>
        <w:t xml:space="preserve"> </w:t>
      </w:r>
    </w:p>
    <w:p w:rsidR="00B771E9" w:rsidRPr="00F621BC" w:rsidRDefault="00D60C0E" w:rsidP="008555E3">
      <w:pPr>
        <w:shd w:val="clear" w:color="auto" w:fill="FFFFFF"/>
        <w:spacing w:line="413" w:lineRule="exact"/>
        <w:ind w:left="10" w:firstLine="648"/>
        <w:jc w:val="both"/>
      </w:pPr>
      <w:r w:rsidRPr="00F621BC">
        <w:rPr>
          <w:szCs w:val="24"/>
        </w:rPr>
        <w:t xml:space="preserve">Bendradarbiaujant su Nacionaline teismų administracija ir Valstybės garantuojamos teisinės pagalbos tarnyba, spalio 25 d. </w:t>
      </w:r>
      <w:r w:rsidR="00B771E9" w:rsidRPr="00F621BC">
        <w:rPr>
          <w:szCs w:val="24"/>
        </w:rPr>
        <w:t xml:space="preserve">teisme </w:t>
      </w:r>
      <w:r w:rsidRPr="00F621BC">
        <w:rPr>
          <w:szCs w:val="24"/>
        </w:rPr>
        <w:t>surengta nemokamų teisinių konsultacijų diena „Lietuvos teismai: jūs klausiate – mes atsakome“. Teikti teisinių konsultacijų gyventojams į teismą buvo atvykęs minėtos tarnybos K</w:t>
      </w:r>
      <w:r w:rsidR="00B771E9" w:rsidRPr="00F621BC">
        <w:rPr>
          <w:szCs w:val="24"/>
        </w:rPr>
        <w:t>auno skyriaus</w:t>
      </w:r>
      <w:r w:rsidRPr="00F621BC">
        <w:rPr>
          <w:szCs w:val="24"/>
        </w:rPr>
        <w:t xml:space="preserve"> </w:t>
      </w:r>
      <w:r w:rsidR="00B771E9" w:rsidRPr="00F621BC">
        <w:rPr>
          <w:szCs w:val="24"/>
        </w:rPr>
        <w:t xml:space="preserve">specialistas </w:t>
      </w:r>
      <w:r w:rsidRPr="00F621BC">
        <w:rPr>
          <w:szCs w:val="24"/>
        </w:rPr>
        <w:t>Martynas Kvederavičius</w:t>
      </w:r>
      <w:r w:rsidR="00B771E9" w:rsidRPr="00F621BC">
        <w:rPr>
          <w:szCs w:val="24"/>
        </w:rPr>
        <w:t xml:space="preserve">, šiai veiklai buvo pasitelkti ir teisėjų padėjėjai. Asmenims buvo sudaryta galimybė </w:t>
      </w:r>
      <w:r w:rsidR="00B771E9" w:rsidRPr="00F621BC">
        <w:t xml:space="preserve">gauti atsakymus į visus rūpimus teisinius klausimus. </w:t>
      </w:r>
      <w:r w:rsidR="00272098" w:rsidRPr="00F621BC">
        <w:t>Konsultacijų dienos proga į teismo raštinę atvykusiems</w:t>
      </w:r>
      <w:r w:rsidR="00DF5AE4" w:rsidRPr="00F621BC">
        <w:t xml:space="preserve"> </w:t>
      </w:r>
      <w:r w:rsidR="00272098" w:rsidRPr="00F621BC">
        <w:t xml:space="preserve">lankytojams </w:t>
      </w:r>
      <w:r w:rsidR="00DF5AE4" w:rsidRPr="00F621BC">
        <w:t xml:space="preserve">taip pat </w:t>
      </w:r>
      <w:r w:rsidR="00272098" w:rsidRPr="00F621BC">
        <w:t>buvo dalin</w:t>
      </w:r>
      <w:r w:rsidR="00DE4CCB" w:rsidRPr="00F621BC">
        <w:t>amos</w:t>
      </w:r>
      <w:r w:rsidR="00272098" w:rsidRPr="00F621BC">
        <w:t xml:space="preserve"> </w:t>
      </w:r>
      <w:r w:rsidR="00DF5AE4" w:rsidRPr="00F621BC">
        <w:t xml:space="preserve">teismui </w:t>
      </w:r>
      <w:r w:rsidR="00272098" w:rsidRPr="00F621BC">
        <w:t xml:space="preserve">Nacionalinės teismų administracijos </w:t>
      </w:r>
      <w:r w:rsidR="00DF5AE4" w:rsidRPr="00F621BC">
        <w:t>perduotos atminimo dovanėlės.</w:t>
      </w:r>
    </w:p>
    <w:p w:rsidR="00DE4CCB" w:rsidRPr="00F621BC" w:rsidRDefault="00DF5AE4" w:rsidP="00DE4CCB">
      <w:pPr>
        <w:shd w:val="clear" w:color="auto" w:fill="FFFFFF"/>
        <w:spacing w:line="413" w:lineRule="exact"/>
        <w:ind w:left="10" w:firstLine="648"/>
        <w:jc w:val="both"/>
      </w:pPr>
      <w:r w:rsidRPr="00F621BC">
        <w:t xml:space="preserve">2017 m. gruodžio 15 d. teisme paminėta Lietuvos teismų diena. Šia proga teismo </w:t>
      </w:r>
      <w:r w:rsidR="0060507A" w:rsidRPr="00F621BC">
        <w:t>kolektyvui</w:t>
      </w:r>
      <w:r w:rsidRPr="00F621BC">
        <w:t xml:space="preserve"> sveikinimo žodį tarė teismo pirmininkas</w:t>
      </w:r>
      <w:r w:rsidR="0060507A" w:rsidRPr="00F621BC">
        <w:t>, vaizdo pasveikinimu teisėjams ir teismo darbuotojams pasidalino Lietuvos Aukščiausiojo Teismo pirmininkas bei Nacionalinės teismų administracijos direktorė</w:t>
      </w:r>
      <w:r w:rsidR="00DE4CCB" w:rsidRPr="00F621BC">
        <w:t xml:space="preserve">, kolektyvas sulaukė Nacionalinės teismų administracijos paruoštų dovanėlių. Lietuvos teismų dienos proga visiems į teismą atvykusiems lankytojams teismo darbuotojai dalino knygų skirtukus su Lietuvos teismų simbolika </w:t>
      </w:r>
      <w:r w:rsidR="00F621BC" w:rsidRPr="00F621BC">
        <w:t>taip pat</w:t>
      </w:r>
      <w:r w:rsidR="00DE4CCB" w:rsidRPr="00F621BC">
        <w:t xml:space="preserve"> </w:t>
      </w:r>
      <w:r w:rsidR="00F621BC" w:rsidRPr="00F621BC">
        <w:t xml:space="preserve">išdalino </w:t>
      </w:r>
      <w:r w:rsidR="00DE4CCB" w:rsidRPr="00F621BC">
        <w:t>kitas teismui Nacionalinės teismų administracijos perduotas atminimo dovanėles.</w:t>
      </w:r>
    </w:p>
    <w:p w:rsidR="0060507A" w:rsidRPr="00F621BC" w:rsidRDefault="0060507A" w:rsidP="0060507A">
      <w:pPr>
        <w:shd w:val="clear" w:color="auto" w:fill="FFFFFF"/>
        <w:spacing w:line="413" w:lineRule="exact"/>
        <w:ind w:left="10" w:firstLine="648"/>
        <w:jc w:val="both"/>
      </w:pPr>
    </w:p>
    <w:p w:rsidR="0060507A" w:rsidRPr="00F621BC" w:rsidRDefault="0060507A" w:rsidP="0060507A">
      <w:pPr>
        <w:shd w:val="clear" w:color="auto" w:fill="FFFFFF"/>
        <w:spacing w:line="413" w:lineRule="exact"/>
        <w:ind w:left="10" w:firstLine="648"/>
        <w:jc w:val="both"/>
      </w:pPr>
    </w:p>
    <w:p w:rsidR="00CB4A55" w:rsidRPr="00F621BC" w:rsidRDefault="00CB4A55" w:rsidP="00BC7A7D">
      <w:pPr>
        <w:shd w:val="clear" w:color="auto" w:fill="FFFFFF"/>
        <w:spacing w:line="413" w:lineRule="exact"/>
        <w:ind w:left="10" w:firstLine="648"/>
        <w:jc w:val="both"/>
        <w:rPr>
          <w:color w:val="000000"/>
          <w:spacing w:val="-1"/>
          <w:szCs w:val="24"/>
        </w:rPr>
      </w:pPr>
      <w:bookmarkStart w:id="8" w:name="_GoBack"/>
      <w:bookmarkEnd w:id="8"/>
    </w:p>
    <w:p w:rsidR="00F621BC" w:rsidRPr="00F621BC" w:rsidRDefault="00F621BC">
      <w:pPr>
        <w:shd w:val="clear" w:color="auto" w:fill="FFFFFF"/>
        <w:spacing w:line="413" w:lineRule="exact"/>
        <w:ind w:left="10" w:firstLine="648"/>
        <w:jc w:val="both"/>
        <w:rPr>
          <w:color w:val="000000"/>
          <w:spacing w:val="-1"/>
          <w:szCs w:val="24"/>
        </w:rPr>
      </w:pPr>
    </w:p>
    <w:sectPr w:rsidR="00F621BC" w:rsidRPr="00F621BC" w:rsidSect="00EA3DC5">
      <w:footerReference w:type="default" r:id="rId20"/>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3D61" w:rsidRDefault="006E3D61" w:rsidP="00021CF3">
      <w:r>
        <w:separator/>
      </w:r>
    </w:p>
  </w:endnote>
  <w:endnote w:type="continuationSeparator" w:id="0">
    <w:p w:rsidR="006E3D61" w:rsidRDefault="006E3D61" w:rsidP="00021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00"/>
    <w:family w:val="roman"/>
    <w:notTrueType/>
    <w:pitch w:val="default"/>
    <w:sig w:usb0="00000007" w:usb1="00000000" w:usb2="00000000" w:usb3="00000000" w:csb0="0000008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0005" w:rsidRDefault="008B0005">
    <w:pPr>
      <w:pStyle w:val="Porat"/>
      <w:jc w:val="right"/>
    </w:pPr>
    <w:r>
      <w:fldChar w:fldCharType="begin"/>
    </w:r>
    <w:r>
      <w:instrText>PAGE   \* MERGEFORMAT</w:instrText>
    </w:r>
    <w:r>
      <w:fldChar w:fldCharType="separate"/>
    </w:r>
    <w:r w:rsidR="00292D6C">
      <w:rPr>
        <w:noProof/>
      </w:rPr>
      <w:t>15</w:t>
    </w:r>
    <w:r>
      <w:fldChar w:fldCharType="end"/>
    </w:r>
  </w:p>
  <w:p w:rsidR="008B0005" w:rsidRDefault="008B000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3D61" w:rsidRDefault="006E3D61" w:rsidP="00021CF3">
      <w:r>
        <w:separator/>
      </w:r>
    </w:p>
  </w:footnote>
  <w:footnote w:type="continuationSeparator" w:id="0">
    <w:p w:rsidR="006E3D61" w:rsidRDefault="006E3D61" w:rsidP="00021C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71A47"/>
    <w:multiLevelType w:val="hybridMultilevel"/>
    <w:tmpl w:val="F0885BDE"/>
    <w:lvl w:ilvl="0" w:tplc="455E8ECE">
      <w:start w:val="20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1206D6"/>
    <w:multiLevelType w:val="hybridMultilevel"/>
    <w:tmpl w:val="A0847048"/>
    <w:lvl w:ilvl="0" w:tplc="88940470">
      <w:start w:val="2014"/>
      <w:numFmt w:val="bullet"/>
      <w:lvlText w:val="-"/>
      <w:lvlJc w:val="left"/>
      <w:pPr>
        <w:ind w:left="1018" w:hanging="360"/>
      </w:pPr>
      <w:rPr>
        <w:rFonts w:ascii="Times New Roman" w:eastAsia="Times New Roman" w:hAnsi="Times New Roman" w:cs="Times New Roman" w:hint="default"/>
      </w:rPr>
    </w:lvl>
    <w:lvl w:ilvl="1" w:tplc="04090003" w:tentative="1">
      <w:start w:val="1"/>
      <w:numFmt w:val="bullet"/>
      <w:lvlText w:val="o"/>
      <w:lvlJc w:val="left"/>
      <w:pPr>
        <w:ind w:left="1738" w:hanging="360"/>
      </w:pPr>
      <w:rPr>
        <w:rFonts w:ascii="Courier New" w:hAnsi="Courier New" w:cs="Courier New" w:hint="default"/>
      </w:rPr>
    </w:lvl>
    <w:lvl w:ilvl="2" w:tplc="04090005" w:tentative="1">
      <w:start w:val="1"/>
      <w:numFmt w:val="bullet"/>
      <w:lvlText w:val=""/>
      <w:lvlJc w:val="left"/>
      <w:pPr>
        <w:ind w:left="2458" w:hanging="360"/>
      </w:pPr>
      <w:rPr>
        <w:rFonts w:ascii="Wingdings" w:hAnsi="Wingdings" w:hint="default"/>
      </w:rPr>
    </w:lvl>
    <w:lvl w:ilvl="3" w:tplc="04090001" w:tentative="1">
      <w:start w:val="1"/>
      <w:numFmt w:val="bullet"/>
      <w:lvlText w:val=""/>
      <w:lvlJc w:val="left"/>
      <w:pPr>
        <w:ind w:left="3178" w:hanging="360"/>
      </w:pPr>
      <w:rPr>
        <w:rFonts w:ascii="Symbol" w:hAnsi="Symbol" w:hint="default"/>
      </w:rPr>
    </w:lvl>
    <w:lvl w:ilvl="4" w:tplc="04090003" w:tentative="1">
      <w:start w:val="1"/>
      <w:numFmt w:val="bullet"/>
      <w:lvlText w:val="o"/>
      <w:lvlJc w:val="left"/>
      <w:pPr>
        <w:ind w:left="3898" w:hanging="360"/>
      </w:pPr>
      <w:rPr>
        <w:rFonts w:ascii="Courier New" w:hAnsi="Courier New" w:cs="Courier New" w:hint="default"/>
      </w:rPr>
    </w:lvl>
    <w:lvl w:ilvl="5" w:tplc="04090005" w:tentative="1">
      <w:start w:val="1"/>
      <w:numFmt w:val="bullet"/>
      <w:lvlText w:val=""/>
      <w:lvlJc w:val="left"/>
      <w:pPr>
        <w:ind w:left="4618" w:hanging="360"/>
      </w:pPr>
      <w:rPr>
        <w:rFonts w:ascii="Wingdings" w:hAnsi="Wingdings" w:hint="default"/>
      </w:rPr>
    </w:lvl>
    <w:lvl w:ilvl="6" w:tplc="04090001" w:tentative="1">
      <w:start w:val="1"/>
      <w:numFmt w:val="bullet"/>
      <w:lvlText w:val=""/>
      <w:lvlJc w:val="left"/>
      <w:pPr>
        <w:ind w:left="5338" w:hanging="360"/>
      </w:pPr>
      <w:rPr>
        <w:rFonts w:ascii="Symbol" w:hAnsi="Symbol" w:hint="default"/>
      </w:rPr>
    </w:lvl>
    <w:lvl w:ilvl="7" w:tplc="04090003" w:tentative="1">
      <w:start w:val="1"/>
      <w:numFmt w:val="bullet"/>
      <w:lvlText w:val="o"/>
      <w:lvlJc w:val="left"/>
      <w:pPr>
        <w:ind w:left="6058" w:hanging="360"/>
      </w:pPr>
      <w:rPr>
        <w:rFonts w:ascii="Courier New" w:hAnsi="Courier New" w:cs="Courier New" w:hint="default"/>
      </w:rPr>
    </w:lvl>
    <w:lvl w:ilvl="8" w:tplc="04090005" w:tentative="1">
      <w:start w:val="1"/>
      <w:numFmt w:val="bullet"/>
      <w:lvlText w:val=""/>
      <w:lvlJc w:val="left"/>
      <w:pPr>
        <w:ind w:left="6778" w:hanging="360"/>
      </w:pPr>
      <w:rPr>
        <w:rFonts w:ascii="Wingdings" w:hAnsi="Wingdings" w:hint="default"/>
      </w:rPr>
    </w:lvl>
  </w:abstractNum>
  <w:abstractNum w:abstractNumId="2" w15:restartNumberingAfterBreak="0">
    <w:nsid w:val="41B621C7"/>
    <w:multiLevelType w:val="hybridMultilevel"/>
    <w:tmpl w:val="96945406"/>
    <w:lvl w:ilvl="0" w:tplc="E3CA6462">
      <w:start w:val="5"/>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3" w15:restartNumberingAfterBreak="0">
    <w:nsid w:val="448C626D"/>
    <w:multiLevelType w:val="hybridMultilevel"/>
    <w:tmpl w:val="5B20760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Marlett" w:hAnsi="Marlett"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Marlett" w:hAnsi="Marlett"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Marlett" w:hAnsi="Marlett" w:hint="default"/>
      </w:rPr>
    </w:lvl>
  </w:abstractNum>
  <w:abstractNum w:abstractNumId="4" w15:restartNumberingAfterBreak="0">
    <w:nsid w:val="452D0F41"/>
    <w:multiLevelType w:val="hybridMultilevel"/>
    <w:tmpl w:val="8E2EFDF8"/>
    <w:lvl w:ilvl="0" w:tplc="04270013">
      <w:start w:val="1"/>
      <w:numFmt w:val="upperRoman"/>
      <w:lvlText w:val="%1."/>
      <w:lvlJc w:val="right"/>
      <w:pPr>
        <w:ind w:left="2004" w:hanging="360"/>
      </w:pPr>
      <w:rPr>
        <w:rFonts w:hint="default"/>
      </w:rPr>
    </w:lvl>
    <w:lvl w:ilvl="1" w:tplc="04270019" w:tentative="1">
      <w:start w:val="1"/>
      <w:numFmt w:val="lowerLetter"/>
      <w:lvlText w:val="%2."/>
      <w:lvlJc w:val="left"/>
      <w:pPr>
        <w:ind w:left="2724" w:hanging="360"/>
      </w:pPr>
    </w:lvl>
    <w:lvl w:ilvl="2" w:tplc="0427001B" w:tentative="1">
      <w:start w:val="1"/>
      <w:numFmt w:val="lowerRoman"/>
      <w:lvlText w:val="%3."/>
      <w:lvlJc w:val="right"/>
      <w:pPr>
        <w:ind w:left="3444" w:hanging="180"/>
      </w:pPr>
    </w:lvl>
    <w:lvl w:ilvl="3" w:tplc="0427000F" w:tentative="1">
      <w:start w:val="1"/>
      <w:numFmt w:val="decimal"/>
      <w:lvlText w:val="%4."/>
      <w:lvlJc w:val="left"/>
      <w:pPr>
        <w:ind w:left="4164" w:hanging="360"/>
      </w:pPr>
    </w:lvl>
    <w:lvl w:ilvl="4" w:tplc="04270019" w:tentative="1">
      <w:start w:val="1"/>
      <w:numFmt w:val="lowerLetter"/>
      <w:lvlText w:val="%5."/>
      <w:lvlJc w:val="left"/>
      <w:pPr>
        <w:ind w:left="4884" w:hanging="360"/>
      </w:pPr>
    </w:lvl>
    <w:lvl w:ilvl="5" w:tplc="0427001B" w:tentative="1">
      <w:start w:val="1"/>
      <w:numFmt w:val="lowerRoman"/>
      <w:lvlText w:val="%6."/>
      <w:lvlJc w:val="right"/>
      <w:pPr>
        <w:ind w:left="5604" w:hanging="180"/>
      </w:pPr>
    </w:lvl>
    <w:lvl w:ilvl="6" w:tplc="0427000F" w:tentative="1">
      <w:start w:val="1"/>
      <w:numFmt w:val="decimal"/>
      <w:lvlText w:val="%7."/>
      <w:lvlJc w:val="left"/>
      <w:pPr>
        <w:ind w:left="6324" w:hanging="360"/>
      </w:pPr>
    </w:lvl>
    <w:lvl w:ilvl="7" w:tplc="04270019" w:tentative="1">
      <w:start w:val="1"/>
      <w:numFmt w:val="lowerLetter"/>
      <w:lvlText w:val="%8."/>
      <w:lvlJc w:val="left"/>
      <w:pPr>
        <w:ind w:left="7044" w:hanging="360"/>
      </w:pPr>
    </w:lvl>
    <w:lvl w:ilvl="8" w:tplc="0427001B" w:tentative="1">
      <w:start w:val="1"/>
      <w:numFmt w:val="lowerRoman"/>
      <w:lvlText w:val="%9."/>
      <w:lvlJc w:val="right"/>
      <w:pPr>
        <w:ind w:left="7764" w:hanging="180"/>
      </w:pPr>
    </w:lvl>
  </w:abstractNum>
  <w:abstractNum w:abstractNumId="5" w15:restartNumberingAfterBreak="0">
    <w:nsid w:val="4D784B8B"/>
    <w:multiLevelType w:val="hybridMultilevel"/>
    <w:tmpl w:val="BDFCDDC0"/>
    <w:lvl w:ilvl="0" w:tplc="63842B5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597C2D7A"/>
    <w:multiLevelType w:val="hybridMultilevel"/>
    <w:tmpl w:val="0CE4E39E"/>
    <w:lvl w:ilvl="0" w:tplc="A6FE120E">
      <w:start w:val="1"/>
      <w:numFmt w:val="decimal"/>
      <w:suff w:val="space"/>
      <w:lvlText w:val="%1."/>
      <w:lvlJc w:val="left"/>
      <w:pPr>
        <w:ind w:left="1215" w:hanging="360"/>
      </w:pPr>
      <w:rPr>
        <w:rFonts w:hint="default"/>
        <w:sz w:val="32"/>
        <w:szCs w:val="32"/>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7" w15:restartNumberingAfterBreak="0">
    <w:nsid w:val="63603526"/>
    <w:multiLevelType w:val="hybridMultilevel"/>
    <w:tmpl w:val="1FE8557C"/>
    <w:lvl w:ilvl="0" w:tplc="53AEC214">
      <w:start w:val="7"/>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64304128"/>
    <w:multiLevelType w:val="hybridMultilevel"/>
    <w:tmpl w:val="EB9E8B32"/>
    <w:lvl w:ilvl="0" w:tplc="723CFB9A">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72C37A71"/>
    <w:multiLevelType w:val="hybridMultilevel"/>
    <w:tmpl w:val="1604051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0" w15:restartNumberingAfterBreak="0">
    <w:nsid w:val="75936868"/>
    <w:multiLevelType w:val="hybridMultilevel"/>
    <w:tmpl w:val="3988624C"/>
    <w:lvl w:ilvl="0" w:tplc="0427000F">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1" w15:restartNumberingAfterBreak="0">
    <w:nsid w:val="7C192CD6"/>
    <w:multiLevelType w:val="hybridMultilevel"/>
    <w:tmpl w:val="9216F35C"/>
    <w:lvl w:ilvl="0" w:tplc="2B140A04">
      <w:start w:val="6"/>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5"/>
  </w:num>
  <w:num w:numId="2">
    <w:abstractNumId w:val="0"/>
  </w:num>
  <w:num w:numId="3">
    <w:abstractNumId w:val="10"/>
  </w:num>
  <w:num w:numId="4">
    <w:abstractNumId w:val="1"/>
  </w:num>
  <w:num w:numId="5">
    <w:abstractNumId w:val="11"/>
  </w:num>
  <w:num w:numId="6">
    <w:abstractNumId w:val="7"/>
  </w:num>
  <w:num w:numId="7">
    <w:abstractNumId w:val="9"/>
  </w:num>
  <w:num w:numId="8">
    <w:abstractNumId w:val="6"/>
  </w:num>
  <w:num w:numId="9">
    <w:abstractNumId w:val="2"/>
  </w:num>
  <w:num w:numId="10">
    <w:abstractNumId w:val="4"/>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644"/>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06AD"/>
    <w:rsid w:val="00007D22"/>
    <w:rsid w:val="000146F1"/>
    <w:rsid w:val="00014DFA"/>
    <w:rsid w:val="000218E9"/>
    <w:rsid w:val="00021CF3"/>
    <w:rsid w:val="000239D3"/>
    <w:rsid w:val="0003505B"/>
    <w:rsid w:val="000356BD"/>
    <w:rsid w:val="00047DB5"/>
    <w:rsid w:val="000511C9"/>
    <w:rsid w:val="00066D0F"/>
    <w:rsid w:val="00076FE9"/>
    <w:rsid w:val="00081B62"/>
    <w:rsid w:val="00087E3F"/>
    <w:rsid w:val="00095E4D"/>
    <w:rsid w:val="000A7F34"/>
    <w:rsid w:val="000B28B2"/>
    <w:rsid w:val="000B51AF"/>
    <w:rsid w:val="000B641E"/>
    <w:rsid w:val="000B736B"/>
    <w:rsid w:val="000C0CAF"/>
    <w:rsid w:val="000C1524"/>
    <w:rsid w:val="000C2404"/>
    <w:rsid w:val="000C2674"/>
    <w:rsid w:val="000C346A"/>
    <w:rsid w:val="000C6D81"/>
    <w:rsid w:val="000D5754"/>
    <w:rsid w:val="000E3D84"/>
    <w:rsid w:val="000F0EB6"/>
    <w:rsid w:val="0010730E"/>
    <w:rsid w:val="00107D09"/>
    <w:rsid w:val="00123413"/>
    <w:rsid w:val="00126DAD"/>
    <w:rsid w:val="00144AF8"/>
    <w:rsid w:val="00146D9B"/>
    <w:rsid w:val="00151779"/>
    <w:rsid w:val="0015667F"/>
    <w:rsid w:val="00171812"/>
    <w:rsid w:val="0017277B"/>
    <w:rsid w:val="0017559A"/>
    <w:rsid w:val="001779C6"/>
    <w:rsid w:val="00180C1B"/>
    <w:rsid w:val="001825C5"/>
    <w:rsid w:val="0018403A"/>
    <w:rsid w:val="00184404"/>
    <w:rsid w:val="00190DC5"/>
    <w:rsid w:val="00195F69"/>
    <w:rsid w:val="001A10D6"/>
    <w:rsid w:val="001B143B"/>
    <w:rsid w:val="001B56EF"/>
    <w:rsid w:val="001B641A"/>
    <w:rsid w:val="001C06AD"/>
    <w:rsid w:val="001C06F5"/>
    <w:rsid w:val="001E5145"/>
    <w:rsid w:val="001E5AAC"/>
    <w:rsid w:val="001F3DC2"/>
    <w:rsid w:val="001F3E4B"/>
    <w:rsid w:val="001F43B3"/>
    <w:rsid w:val="00200EA0"/>
    <w:rsid w:val="0020250E"/>
    <w:rsid w:val="002052E0"/>
    <w:rsid w:val="00223107"/>
    <w:rsid w:val="00230B73"/>
    <w:rsid w:val="002428C2"/>
    <w:rsid w:val="002471E1"/>
    <w:rsid w:val="002542D8"/>
    <w:rsid w:val="0025494D"/>
    <w:rsid w:val="002550C9"/>
    <w:rsid w:val="002552BB"/>
    <w:rsid w:val="00270147"/>
    <w:rsid w:val="00272098"/>
    <w:rsid w:val="00276562"/>
    <w:rsid w:val="00276F2E"/>
    <w:rsid w:val="0027737E"/>
    <w:rsid w:val="002827CB"/>
    <w:rsid w:val="00284A18"/>
    <w:rsid w:val="00292D6C"/>
    <w:rsid w:val="002942CD"/>
    <w:rsid w:val="00294A5C"/>
    <w:rsid w:val="00295085"/>
    <w:rsid w:val="002A758B"/>
    <w:rsid w:val="002C0D9E"/>
    <w:rsid w:val="002D2436"/>
    <w:rsid w:val="002E1A9F"/>
    <w:rsid w:val="002F2118"/>
    <w:rsid w:val="003051F5"/>
    <w:rsid w:val="003120B0"/>
    <w:rsid w:val="00315A3F"/>
    <w:rsid w:val="00340748"/>
    <w:rsid w:val="00341478"/>
    <w:rsid w:val="00341D88"/>
    <w:rsid w:val="003446F7"/>
    <w:rsid w:val="0035008D"/>
    <w:rsid w:val="003536BB"/>
    <w:rsid w:val="00355461"/>
    <w:rsid w:val="00363FEC"/>
    <w:rsid w:val="00383DAE"/>
    <w:rsid w:val="00387D1C"/>
    <w:rsid w:val="00392ED8"/>
    <w:rsid w:val="003A5E03"/>
    <w:rsid w:val="003B2DE4"/>
    <w:rsid w:val="003B4A1A"/>
    <w:rsid w:val="003B5624"/>
    <w:rsid w:val="003B6BE3"/>
    <w:rsid w:val="003B79C6"/>
    <w:rsid w:val="003D1462"/>
    <w:rsid w:val="003D246D"/>
    <w:rsid w:val="003D6BFF"/>
    <w:rsid w:val="003F60CB"/>
    <w:rsid w:val="004018EA"/>
    <w:rsid w:val="004206C6"/>
    <w:rsid w:val="00421150"/>
    <w:rsid w:val="00427EA9"/>
    <w:rsid w:val="0043385A"/>
    <w:rsid w:val="00436665"/>
    <w:rsid w:val="00441559"/>
    <w:rsid w:val="00441D49"/>
    <w:rsid w:val="00450D3E"/>
    <w:rsid w:val="004527A7"/>
    <w:rsid w:val="00453868"/>
    <w:rsid w:val="004538A0"/>
    <w:rsid w:val="004704B1"/>
    <w:rsid w:val="00472E72"/>
    <w:rsid w:val="00476834"/>
    <w:rsid w:val="00487DEB"/>
    <w:rsid w:val="004A00B0"/>
    <w:rsid w:val="004B26F9"/>
    <w:rsid w:val="004D1E76"/>
    <w:rsid w:val="004D29E8"/>
    <w:rsid w:val="004D4395"/>
    <w:rsid w:val="004E4DC9"/>
    <w:rsid w:val="005028EA"/>
    <w:rsid w:val="00516F53"/>
    <w:rsid w:val="00521DA5"/>
    <w:rsid w:val="00525C1D"/>
    <w:rsid w:val="0052677B"/>
    <w:rsid w:val="00530208"/>
    <w:rsid w:val="00535224"/>
    <w:rsid w:val="00536812"/>
    <w:rsid w:val="00541C5F"/>
    <w:rsid w:val="005535C5"/>
    <w:rsid w:val="00555802"/>
    <w:rsid w:val="00560763"/>
    <w:rsid w:val="0058043A"/>
    <w:rsid w:val="00583074"/>
    <w:rsid w:val="0058386E"/>
    <w:rsid w:val="00584DA4"/>
    <w:rsid w:val="0059741D"/>
    <w:rsid w:val="005B0B4E"/>
    <w:rsid w:val="005C07AF"/>
    <w:rsid w:val="005C0A9A"/>
    <w:rsid w:val="005C41BC"/>
    <w:rsid w:val="005D1782"/>
    <w:rsid w:val="005D39A9"/>
    <w:rsid w:val="005E19F1"/>
    <w:rsid w:val="005E2F4F"/>
    <w:rsid w:val="005E4177"/>
    <w:rsid w:val="005F1CA6"/>
    <w:rsid w:val="005F465A"/>
    <w:rsid w:val="0060124D"/>
    <w:rsid w:val="00604470"/>
    <w:rsid w:val="0060507A"/>
    <w:rsid w:val="006102E8"/>
    <w:rsid w:val="0063093C"/>
    <w:rsid w:val="006358BE"/>
    <w:rsid w:val="0064523E"/>
    <w:rsid w:val="00652405"/>
    <w:rsid w:val="006534A7"/>
    <w:rsid w:val="00655808"/>
    <w:rsid w:val="00656AAF"/>
    <w:rsid w:val="00662122"/>
    <w:rsid w:val="00670D4E"/>
    <w:rsid w:val="006743CF"/>
    <w:rsid w:val="006746EC"/>
    <w:rsid w:val="006849B0"/>
    <w:rsid w:val="0068770E"/>
    <w:rsid w:val="0069188E"/>
    <w:rsid w:val="00695AC6"/>
    <w:rsid w:val="006A1AE6"/>
    <w:rsid w:val="006A1D61"/>
    <w:rsid w:val="006A529D"/>
    <w:rsid w:val="006A5B7B"/>
    <w:rsid w:val="006A7500"/>
    <w:rsid w:val="006A7681"/>
    <w:rsid w:val="006B16D3"/>
    <w:rsid w:val="006B4A54"/>
    <w:rsid w:val="006D0B26"/>
    <w:rsid w:val="006D1B75"/>
    <w:rsid w:val="006D32ED"/>
    <w:rsid w:val="006E02DE"/>
    <w:rsid w:val="006E267C"/>
    <w:rsid w:val="006E3D61"/>
    <w:rsid w:val="00707658"/>
    <w:rsid w:val="007225BB"/>
    <w:rsid w:val="00733716"/>
    <w:rsid w:val="00733E92"/>
    <w:rsid w:val="00737C19"/>
    <w:rsid w:val="00750211"/>
    <w:rsid w:val="007533CF"/>
    <w:rsid w:val="007552C1"/>
    <w:rsid w:val="00762F01"/>
    <w:rsid w:val="0077631B"/>
    <w:rsid w:val="00776410"/>
    <w:rsid w:val="007843A6"/>
    <w:rsid w:val="007935E6"/>
    <w:rsid w:val="00793D08"/>
    <w:rsid w:val="00797CA2"/>
    <w:rsid w:val="007A01C4"/>
    <w:rsid w:val="007A3592"/>
    <w:rsid w:val="007A514D"/>
    <w:rsid w:val="007B0F2B"/>
    <w:rsid w:val="007B2D17"/>
    <w:rsid w:val="007B3370"/>
    <w:rsid w:val="007B4DC6"/>
    <w:rsid w:val="007C06BF"/>
    <w:rsid w:val="007E072A"/>
    <w:rsid w:val="007E5C76"/>
    <w:rsid w:val="007E5D37"/>
    <w:rsid w:val="007F2286"/>
    <w:rsid w:val="00805025"/>
    <w:rsid w:val="00811D95"/>
    <w:rsid w:val="00813B4C"/>
    <w:rsid w:val="00815A24"/>
    <w:rsid w:val="00820789"/>
    <w:rsid w:val="00824238"/>
    <w:rsid w:val="00824A2F"/>
    <w:rsid w:val="0083029A"/>
    <w:rsid w:val="008374A3"/>
    <w:rsid w:val="008409BE"/>
    <w:rsid w:val="00846B82"/>
    <w:rsid w:val="0085114C"/>
    <w:rsid w:val="008540D0"/>
    <w:rsid w:val="008549A9"/>
    <w:rsid w:val="008555E3"/>
    <w:rsid w:val="00855AEB"/>
    <w:rsid w:val="00865F61"/>
    <w:rsid w:val="008721FC"/>
    <w:rsid w:val="00885993"/>
    <w:rsid w:val="00892875"/>
    <w:rsid w:val="00892BCE"/>
    <w:rsid w:val="008973E4"/>
    <w:rsid w:val="008B0005"/>
    <w:rsid w:val="008B16A8"/>
    <w:rsid w:val="008B599A"/>
    <w:rsid w:val="008C253A"/>
    <w:rsid w:val="008C5534"/>
    <w:rsid w:val="008D2772"/>
    <w:rsid w:val="008D2E0E"/>
    <w:rsid w:val="008D5CAD"/>
    <w:rsid w:val="008D7957"/>
    <w:rsid w:val="008E0C2F"/>
    <w:rsid w:val="008E396E"/>
    <w:rsid w:val="008F0EA8"/>
    <w:rsid w:val="008F739B"/>
    <w:rsid w:val="00906B5B"/>
    <w:rsid w:val="00910414"/>
    <w:rsid w:val="00910F8F"/>
    <w:rsid w:val="00921245"/>
    <w:rsid w:val="009267D9"/>
    <w:rsid w:val="009332D6"/>
    <w:rsid w:val="00934CA5"/>
    <w:rsid w:val="00937577"/>
    <w:rsid w:val="00942D9E"/>
    <w:rsid w:val="00943BFA"/>
    <w:rsid w:val="00946445"/>
    <w:rsid w:val="00951A70"/>
    <w:rsid w:val="00952C4D"/>
    <w:rsid w:val="009550D1"/>
    <w:rsid w:val="00964EC8"/>
    <w:rsid w:val="00972B61"/>
    <w:rsid w:val="00976E3E"/>
    <w:rsid w:val="00983762"/>
    <w:rsid w:val="00986964"/>
    <w:rsid w:val="009927A9"/>
    <w:rsid w:val="0099699E"/>
    <w:rsid w:val="009A110A"/>
    <w:rsid w:val="009A7725"/>
    <w:rsid w:val="009B101F"/>
    <w:rsid w:val="009B3C8C"/>
    <w:rsid w:val="009C73EF"/>
    <w:rsid w:val="009D287E"/>
    <w:rsid w:val="009D380D"/>
    <w:rsid w:val="009D4728"/>
    <w:rsid w:val="009D649B"/>
    <w:rsid w:val="009D73F1"/>
    <w:rsid w:val="009E0FED"/>
    <w:rsid w:val="009F51D2"/>
    <w:rsid w:val="00A02528"/>
    <w:rsid w:val="00A13468"/>
    <w:rsid w:val="00A17443"/>
    <w:rsid w:val="00A214EA"/>
    <w:rsid w:val="00A26D6C"/>
    <w:rsid w:val="00A275BC"/>
    <w:rsid w:val="00A36E2D"/>
    <w:rsid w:val="00A40EB7"/>
    <w:rsid w:val="00A67A86"/>
    <w:rsid w:val="00A82AF1"/>
    <w:rsid w:val="00A90867"/>
    <w:rsid w:val="00A971E2"/>
    <w:rsid w:val="00A97419"/>
    <w:rsid w:val="00AA121A"/>
    <w:rsid w:val="00AA4037"/>
    <w:rsid w:val="00AA59D5"/>
    <w:rsid w:val="00AA729F"/>
    <w:rsid w:val="00AD0F1E"/>
    <w:rsid w:val="00AD1104"/>
    <w:rsid w:val="00AD1DA4"/>
    <w:rsid w:val="00AD623C"/>
    <w:rsid w:val="00AE1886"/>
    <w:rsid w:val="00AF24F2"/>
    <w:rsid w:val="00AF4C81"/>
    <w:rsid w:val="00AF627F"/>
    <w:rsid w:val="00B07023"/>
    <w:rsid w:val="00B26082"/>
    <w:rsid w:val="00B26A33"/>
    <w:rsid w:val="00B343E3"/>
    <w:rsid w:val="00B41A49"/>
    <w:rsid w:val="00B420FA"/>
    <w:rsid w:val="00B42367"/>
    <w:rsid w:val="00B4365A"/>
    <w:rsid w:val="00B45A4E"/>
    <w:rsid w:val="00B5531D"/>
    <w:rsid w:val="00B56855"/>
    <w:rsid w:val="00B57E31"/>
    <w:rsid w:val="00B62357"/>
    <w:rsid w:val="00B71AF8"/>
    <w:rsid w:val="00B771E9"/>
    <w:rsid w:val="00B8120B"/>
    <w:rsid w:val="00B81323"/>
    <w:rsid w:val="00B828CA"/>
    <w:rsid w:val="00B843C1"/>
    <w:rsid w:val="00B84E8A"/>
    <w:rsid w:val="00B9065D"/>
    <w:rsid w:val="00B92770"/>
    <w:rsid w:val="00B948B4"/>
    <w:rsid w:val="00BA7DA6"/>
    <w:rsid w:val="00BB503F"/>
    <w:rsid w:val="00BC016A"/>
    <w:rsid w:val="00BC7A7D"/>
    <w:rsid w:val="00BC7CCF"/>
    <w:rsid w:val="00BD00CE"/>
    <w:rsid w:val="00BD5616"/>
    <w:rsid w:val="00BE4A9E"/>
    <w:rsid w:val="00BF73EB"/>
    <w:rsid w:val="00C00E88"/>
    <w:rsid w:val="00C0440E"/>
    <w:rsid w:val="00C0482A"/>
    <w:rsid w:val="00C33899"/>
    <w:rsid w:val="00C4164D"/>
    <w:rsid w:val="00C41C1E"/>
    <w:rsid w:val="00C43166"/>
    <w:rsid w:val="00C6018E"/>
    <w:rsid w:val="00C62008"/>
    <w:rsid w:val="00C620B1"/>
    <w:rsid w:val="00C63A3B"/>
    <w:rsid w:val="00C663D6"/>
    <w:rsid w:val="00C67D84"/>
    <w:rsid w:val="00C7046B"/>
    <w:rsid w:val="00C71A83"/>
    <w:rsid w:val="00C86D73"/>
    <w:rsid w:val="00C8705E"/>
    <w:rsid w:val="00CA2EA4"/>
    <w:rsid w:val="00CA4091"/>
    <w:rsid w:val="00CA46B2"/>
    <w:rsid w:val="00CA6B3B"/>
    <w:rsid w:val="00CA72D5"/>
    <w:rsid w:val="00CB2565"/>
    <w:rsid w:val="00CB4A55"/>
    <w:rsid w:val="00CC405E"/>
    <w:rsid w:val="00CD02A4"/>
    <w:rsid w:val="00CD1D37"/>
    <w:rsid w:val="00CD5AFE"/>
    <w:rsid w:val="00CD7EBA"/>
    <w:rsid w:val="00CE209E"/>
    <w:rsid w:val="00CE7976"/>
    <w:rsid w:val="00CF3B96"/>
    <w:rsid w:val="00CF4131"/>
    <w:rsid w:val="00CF4C24"/>
    <w:rsid w:val="00D05926"/>
    <w:rsid w:val="00D12F80"/>
    <w:rsid w:val="00D21B9C"/>
    <w:rsid w:val="00D24E48"/>
    <w:rsid w:val="00D25CD9"/>
    <w:rsid w:val="00D2671A"/>
    <w:rsid w:val="00D333BD"/>
    <w:rsid w:val="00D44BDE"/>
    <w:rsid w:val="00D460B6"/>
    <w:rsid w:val="00D5223A"/>
    <w:rsid w:val="00D6096E"/>
    <w:rsid w:val="00D60C0E"/>
    <w:rsid w:val="00D62A25"/>
    <w:rsid w:val="00D73C35"/>
    <w:rsid w:val="00D85A10"/>
    <w:rsid w:val="00D91EAB"/>
    <w:rsid w:val="00DB126D"/>
    <w:rsid w:val="00DC3D69"/>
    <w:rsid w:val="00DC4DA4"/>
    <w:rsid w:val="00DD679F"/>
    <w:rsid w:val="00DD71D2"/>
    <w:rsid w:val="00DE4CCB"/>
    <w:rsid w:val="00DE5418"/>
    <w:rsid w:val="00DE762C"/>
    <w:rsid w:val="00DF16E7"/>
    <w:rsid w:val="00DF259F"/>
    <w:rsid w:val="00DF5AE4"/>
    <w:rsid w:val="00DF5E88"/>
    <w:rsid w:val="00DF6B0C"/>
    <w:rsid w:val="00E027B1"/>
    <w:rsid w:val="00E02D37"/>
    <w:rsid w:val="00E1021B"/>
    <w:rsid w:val="00E106F8"/>
    <w:rsid w:val="00E35777"/>
    <w:rsid w:val="00E379D6"/>
    <w:rsid w:val="00E55399"/>
    <w:rsid w:val="00E70B4F"/>
    <w:rsid w:val="00E753A5"/>
    <w:rsid w:val="00E759D3"/>
    <w:rsid w:val="00E82BCB"/>
    <w:rsid w:val="00E837DF"/>
    <w:rsid w:val="00E9047C"/>
    <w:rsid w:val="00E979A7"/>
    <w:rsid w:val="00EA3DC5"/>
    <w:rsid w:val="00EA4A91"/>
    <w:rsid w:val="00EA6CBC"/>
    <w:rsid w:val="00EB74F0"/>
    <w:rsid w:val="00EC2B4E"/>
    <w:rsid w:val="00ED46AE"/>
    <w:rsid w:val="00EE0C4F"/>
    <w:rsid w:val="00EE188E"/>
    <w:rsid w:val="00EE5BED"/>
    <w:rsid w:val="00EF0E0A"/>
    <w:rsid w:val="00EF29FC"/>
    <w:rsid w:val="00EF37AF"/>
    <w:rsid w:val="00F0108D"/>
    <w:rsid w:val="00F0264F"/>
    <w:rsid w:val="00F0446F"/>
    <w:rsid w:val="00F07D3C"/>
    <w:rsid w:val="00F1121D"/>
    <w:rsid w:val="00F15660"/>
    <w:rsid w:val="00F1712F"/>
    <w:rsid w:val="00F27A83"/>
    <w:rsid w:val="00F30351"/>
    <w:rsid w:val="00F325DE"/>
    <w:rsid w:val="00F40CC7"/>
    <w:rsid w:val="00F41EA3"/>
    <w:rsid w:val="00F50811"/>
    <w:rsid w:val="00F544E3"/>
    <w:rsid w:val="00F551D8"/>
    <w:rsid w:val="00F57AF7"/>
    <w:rsid w:val="00F621BC"/>
    <w:rsid w:val="00F720C1"/>
    <w:rsid w:val="00F75878"/>
    <w:rsid w:val="00F75941"/>
    <w:rsid w:val="00F77A40"/>
    <w:rsid w:val="00F81FF1"/>
    <w:rsid w:val="00F87BED"/>
    <w:rsid w:val="00FB5C46"/>
    <w:rsid w:val="00FB6F1E"/>
    <w:rsid w:val="00FC2A87"/>
    <w:rsid w:val="00FC494D"/>
    <w:rsid w:val="00FD1DB8"/>
    <w:rsid w:val="00FE2B3E"/>
    <w:rsid w:val="00FE7388"/>
    <w:rsid w:val="00FE7DF1"/>
    <w:rsid w:val="00FF06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rules v:ext="edit">
        <o:r id="V:Rule1" type="connector" idref="#_s1041">
          <o:proxy start="" idref="#_s1045" connectloc="0"/>
          <o:proxy end="" idref="#_s1043" connectloc="2"/>
        </o:r>
        <o:r id="V:Rule2" type="connector" idref="#_s1039">
          <o:proxy start="" idref="#_s1048" connectloc="0"/>
          <o:proxy end="" idref="#_s1043" connectloc="2"/>
        </o:r>
        <o:r id="V:Rule3" type="connector" idref="#_s1042">
          <o:proxy start="" idref="#_s1044" connectloc="0"/>
          <o:proxy end="" idref="#_s1043" connectloc="2"/>
        </o:r>
        <o:r id="V:Rule4" type="connector" idref="#_s1036">
          <o:proxy start="" idref="#_s1050" connectloc="0"/>
          <o:proxy end="" idref="#_s1043" connectloc="2"/>
        </o:r>
        <o:r id="V:Rule5" type="connector" idref="#_s1038">
          <o:proxy start="" idref="#_s1049" connectloc="0"/>
          <o:proxy end="" idref="#_s1043" connectloc="2"/>
        </o:r>
        <o:r id="V:Rule6" type="connector" idref="#_s1037">
          <o:proxy start="" idref="#_s1046" connectloc="0"/>
          <o:proxy end="" idref="#_s1043" connectloc="2"/>
        </o:r>
        <o:r id="V:Rule7" type="connector" idref="#_s1040">
          <o:proxy start="" idref="#_s1047" connectloc="0"/>
          <o:proxy end="" idref="#_s1043" connectloc="2"/>
        </o:r>
        <o:r id="V:Rule8" type="connector" idref="#_s1034">
          <o:proxy start="" idref="#_s1052" connectloc="0"/>
          <o:proxy end="" idref="#_s1051" connectloc="2"/>
        </o:r>
        <o:r id="V:Rule9" type="connector" idref="#_s1035">
          <o:proxy start="" idref="#_s1051" connectloc="0"/>
          <o:proxy end="" idref="#_s1050" connectloc="2"/>
        </o:r>
        <o:r id="V:Rule10" type="connector" idref="#_s1032">
          <o:proxy start="" idref="#_s1054" connectloc="0"/>
          <o:proxy end="" idref="#_s1053" connectloc="2"/>
        </o:r>
        <o:r id="V:Rule11" type="connector" idref="#_s1033">
          <o:proxy start="" idref="#_s1053" connectloc="0"/>
          <o:proxy end="" idref="#_s1043" connectloc="2"/>
        </o:r>
        <o:r id="V:Rule12" type="connector" idref="#_s1030">
          <o:proxy start="" idref="#_s1056" connectloc="0"/>
          <o:proxy end="" idref="#_s1054" connectloc="2"/>
        </o:r>
        <o:r id="V:Rule13" type="connector" idref="#_s1031">
          <o:proxy start="" idref="#_s1055" connectloc="0"/>
          <o:proxy end="" idref="#_s1054" connectloc="2"/>
        </o:r>
        <o:r id="V:Rule14" type="connector" idref="#_s1029">
          <o:proxy start="" idref="#_s1057" connectloc="0"/>
          <o:proxy end="" idref="#_s1054" connectloc="2"/>
        </o:r>
        <o:r id="V:Rule15" type="connector" idref="#_s1028">
          <o:proxy start="" idref="#_s1058" connectloc="0"/>
          <o:proxy end="" idref="#_s1048" connectloc="2"/>
        </o:r>
      </o:rules>
    </o:shapelayout>
  </w:shapeDefaults>
  <w:decimalSymbol w:val=","/>
  <w:listSeparator w:val=";"/>
  <w14:docId w14:val="5B53E7C7"/>
  <w15:docId w15:val="{2709E2F5-A12E-4D76-B6D2-0FD8E21A9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1C06AD"/>
    <w:rPr>
      <w:rFonts w:eastAsia="Times New Roman"/>
      <w:sz w:val="24"/>
      <w:lang w:eastAsia="en-US"/>
    </w:rPr>
  </w:style>
  <w:style w:type="paragraph" w:styleId="Antrat1">
    <w:name w:val="heading 1"/>
    <w:basedOn w:val="prastasis"/>
    <w:next w:val="prastasis"/>
    <w:link w:val="Antrat1Diagrama"/>
    <w:uiPriority w:val="9"/>
    <w:qFormat/>
    <w:rsid w:val="0077631B"/>
    <w:pPr>
      <w:keepNext/>
      <w:spacing w:before="240" w:after="60"/>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CD5AFE"/>
    <w:rPr>
      <w:rFonts w:ascii="Tahoma" w:hAnsi="Tahoma"/>
      <w:sz w:val="16"/>
      <w:szCs w:val="16"/>
      <w:lang w:val="x-none" w:eastAsia="x-none"/>
    </w:rPr>
  </w:style>
  <w:style w:type="character" w:customStyle="1" w:styleId="DebesliotekstasDiagrama">
    <w:name w:val="Debesėlio tekstas Diagrama"/>
    <w:link w:val="Debesliotekstas"/>
    <w:uiPriority w:val="99"/>
    <w:semiHidden/>
    <w:rsid w:val="00CD5AFE"/>
    <w:rPr>
      <w:rFonts w:ascii="Tahoma" w:eastAsia="Times New Roman" w:hAnsi="Tahoma" w:cs="Tahoma"/>
      <w:sz w:val="16"/>
      <w:szCs w:val="16"/>
    </w:rPr>
  </w:style>
  <w:style w:type="paragraph" w:customStyle="1" w:styleId="prastasiniatinklio1">
    <w:name w:val="Įprastas (žiniatinklio)1"/>
    <w:basedOn w:val="prastasis"/>
    <w:uiPriority w:val="99"/>
    <w:unhideWhenUsed/>
    <w:rsid w:val="006743CF"/>
    <w:pPr>
      <w:spacing w:before="100" w:beforeAutospacing="1" w:after="100" w:afterAutospacing="1"/>
    </w:pPr>
    <w:rPr>
      <w:rFonts w:eastAsia="MS Mincho"/>
      <w:szCs w:val="24"/>
      <w:lang w:eastAsia="lt-LT"/>
    </w:rPr>
  </w:style>
  <w:style w:type="character" w:styleId="Hipersaitas">
    <w:name w:val="Hyperlink"/>
    <w:uiPriority w:val="99"/>
    <w:unhideWhenUsed/>
    <w:rsid w:val="006743CF"/>
    <w:rPr>
      <w:color w:val="0000FF"/>
      <w:u w:val="single"/>
    </w:rPr>
  </w:style>
  <w:style w:type="paragraph" w:styleId="Sraopastraipa">
    <w:name w:val="List Paragraph"/>
    <w:basedOn w:val="prastasis"/>
    <w:uiPriority w:val="34"/>
    <w:qFormat/>
    <w:rsid w:val="00B57E31"/>
    <w:pPr>
      <w:ind w:left="720"/>
      <w:contextualSpacing/>
    </w:pPr>
  </w:style>
  <w:style w:type="paragraph" w:styleId="Antrats">
    <w:name w:val="header"/>
    <w:basedOn w:val="prastasis"/>
    <w:link w:val="AntratsDiagrama"/>
    <w:uiPriority w:val="99"/>
    <w:unhideWhenUsed/>
    <w:rsid w:val="00021CF3"/>
    <w:pPr>
      <w:tabs>
        <w:tab w:val="center" w:pos="4819"/>
        <w:tab w:val="right" w:pos="9638"/>
      </w:tabs>
    </w:pPr>
    <w:rPr>
      <w:sz w:val="20"/>
      <w:lang w:val="x-none" w:eastAsia="x-none"/>
    </w:rPr>
  </w:style>
  <w:style w:type="character" w:customStyle="1" w:styleId="AntratsDiagrama">
    <w:name w:val="Antraštės Diagrama"/>
    <w:link w:val="Antrats"/>
    <w:uiPriority w:val="99"/>
    <w:rsid w:val="00021CF3"/>
    <w:rPr>
      <w:rFonts w:eastAsia="Times New Roman" w:cs="Times New Roman"/>
      <w:szCs w:val="20"/>
    </w:rPr>
  </w:style>
  <w:style w:type="paragraph" w:styleId="Porat">
    <w:name w:val="footer"/>
    <w:basedOn w:val="prastasis"/>
    <w:link w:val="PoratDiagrama"/>
    <w:uiPriority w:val="99"/>
    <w:unhideWhenUsed/>
    <w:rsid w:val="00021CF3"/>
    <w:pPr>
      <w:tabs>
        <w:tab w:val="center" w:pos="4819"/>
        <w:tab w:val="right" w:pos="9638"/>
      </w:tabs>
    </w:pPr>
    <w:rPr>
      <w:sz w:val="20"/>
      <w:lang w:val="x-none" w:eastAsia="x-none"/>
    </w:rPr>
  </w:style>
  <w:style w:type="character" w:customStyle="1" w:styleId="PoratDiagrama">
    <w:name w:val="Poraštė Diagrama"/>
    <w:link w:val="Porat"/>
    <w:uiPriority w:val="99"/>
    <w:rsid w:val="00021CF3"/>
    <w:rPr>
      <w:rFonts w:eastAsia="Times New Roman" w:cs="Times New Roman"/>
      <w:szCs w:val="20"/>
    </w:rPr>
  </w:style>
  <w:style w:type="paragraph" w:styleId="Pavadinimas">
    <w:name w:val="Title"/>
    <w:basedOn w:val="prastasis"/>
    <w:next w:val="prastasis"/>
    <w:link w:val="PavadinimasDiagrama"/>
    <w:qFormat/>
    <w:rsid w:val="004018EA"/>
    <w:pPr>
      <w:spacing w:before="240" w:after="60"/>
      <w:jc w:val="center"/>
      <w:outlineLvl w:val="0"/>
    </w:pPr>
    <w:rPr>
      <w:rFonts w:ascii="Cambria" w:hAnsi="Cambria"/>
      <w:b/>
      <w:bCs/>
      <w:kern w:val="28"/>
      <w:sz w:val="32"/>
      <w:szCs w:val="32"/>
    </w:rPr>
  </w:style>
  <w:style w:type="character" w:customStyle="1" w:styleId="PavadinimasDiagrama">
    <w:name w:val="Pavadinimas Diagrama"/>
    <w:basedOn w:val="Numatytasispastraiposriftas"/>
    <w:link w:val="Pavadinimas"/>
    <w:rsid w:val="004018EA"/>
    <w:rPr>
      <w:rFonts w:ascii="Cambria" w:eastAsia="Times New Roman" w:hAnsi="Cambria" w:cs="Times New Roman"/>
      <w:b/>
      <w:bCs/>
      <w:kern w:val="28"/>
      <w:sz w:val="32"/>
      <w:szCs w:val="32"/>
      <w:lang w:eastAsia="en-US"/>
    </w:rPr>
  </w:style>
  <w:style w:type="character" w:customStyle="1" w:styleId="Antrat1Diagrama">
    <w:name w:val="Antraštė 1 Diagrama"/>
    <w:basedOn w:val="Numatytasispastraiposriftas"/>
    <w:link w:val="Antrat1"/>
    <w:uiPriority w:val="9"/>
    <w:rsid w:val="0077631B"/>
    <w:rPr>
      <w:rFonts w:ascii="Cambria" w:eastAsia="Times New Roman" w:hAnsi="Cambria" w:cs="Times New Roman"/>
      <w:b/>
      <w:bCs/>
      <w:kern w:val="32"/>
      <w:sz w:val="32"/>
      <w:szCs w:val="32"/>
      <w:lang w:eastAsia="en-US"/>
    </w:rPr>
  </w:style>
  <w:style w:type="paragraph" w:customStyle="1" w:styleId="Default">
    <w:name w:val="Default"/>
    <w:rsid w:val="005E19F1"/>
    <w:pPr>
      <w:autoSpaceDE w:val="0"/>
      <w:autoSpaceDN w:val="0"/>
      <w:adjustRightInd w:val="0"/>
    </w:pPr>
    <w:rPr>
      <w:color w:val="000000"/>
      <w:sz w:val="24"/>
      <w:szCs w:val="24"/>
      <w:lang w:eastAsia="en-US"/>
    </w:rPr>
  </w:style>
  <w:style w:type="paragraph" w:styleId="Pagrindinistekstas">
    <w:name w:val="Body Text"/>
    <w:basedOn w:val="prastasis"/>
    <w:link w:val="PagrindinistekstasDiagrama"/>
    <w:rsid w:val="005C41BC"/>
    <w:rPr>
      <w:sz w:val="22"/>
    </w:rPr>
  </w:style>
  <w:style w:type="character" w:customStyle="1" w:styleId="PagrindinistekstasDiagrama">
    <w:name w:val="Pagrindinis tekstas Diagrama"/>
    <w:basedOn w:val="Numatytasispastraiposriftas"/>
    <w:link w:val="Pagrindinistekstas"/>
    <w:rsid w:val="005C41BC"/>
    <w:rPr>
      <w:rFonts w:eastAsia="Times New Roman"/>
      <w:sz w:val="22"/>
      <w:lang w:eastAsia="en-US"/>
    </w:rPr>
  </w:style>
  <w:style w:type="paragraph" w:styleId="Pagrindiniotekstotrauka">
    <w:name w:val="Body Text Indent"/>
    <w:basedOn w:val="prastasis"/>
    <w:link w:val="PagrindiniotekstotraukaDiagrama"/>
    <w:rsid w:val="005C41BC"/>
    <w:rPr>
      <w:sz w:val="20"/>
    </w:rPr>
  </w:style>
  <w:style w:type="character" w:customStyle="1" w:styleId="PagrindiniotekstotraukaDiagrama">
    <w:name w:val="Pagrindinio teksto įtrauka Diagrama"/>
    <w:basedOn w:val="Numatytasispastraiposriftas"/>
    <w:link w:val="Pagrindiniotekstotrauka"/>
    <w:rsid w:val="005C41BC"/>
    <w:rPr>
      <w:rFonts w:eastAsia="Times New Roman"/>
      <w:lang w:eastAsia="en-US"/>
    </w:rPr>
  </w:style>
  <w:style w:type="paragraph" w:styleId="Pagrindinistekstas3">
    <w:name w:val="Body Text 3"/>
    <w:basedOn w:val="prastasis"/>
    <w:link w:val="Pagrindinistekstas3Diagrama"/>
    <w:uiPriority w:val="99"/>
    <w:semiHidden/>
    <w:unhideWhenUsed/>
    <w:rsid w:val="00946445"/>
    <w:pPr>
      <w:spacing w:after="120"/>
    </w:pPr>
    <w:rPr>
      <w:sz w:val="16"/>
      <w:szCs w:val="16"/>
    </w:rPr>
  </w:style>
  <w:style w:type="character" w:customStyle="1" w:styleId="Pagrindinistekstas3Diagrama">
    <w:name w:val="Pagrindinis tekstas 3 Diagrama"/>
    <w:basedOn w:val="Numatytasispastraiposriftas"/>
    <w:link w:val="Pagrindinistekstas3"/>
    <w:uiPriority w:val="99"/>
    <w:semiHidden/>
    <w:rsid w:val="00946445"/>
    <w:rPr>
      <w:rFonts w:eastAsia="Times New Roman"/>
      <w:sz w:val="16"/>
      <w:szCs w:val="16"/>
      <w:lang w:eastAsia="en-US"/>
    </w:rPr>
  </w:style>
  <w:style w:type="paragraph" w:customStyle="1" w:styleId="Hyperlink1">
    <w:name w:val="Hyperlink1"/>
    <w:basedOn w:val="prastasis"/>
    <w:rsid w:val="00946445"/>
    <w:pPr>
      <w:suppressAutoHyphens/>
      <w:autoSpaceDE w:val="0"/>
      <w:autoSpaceDN w:val="0"/>
      <w:adjustRightInd w:val="0"/>
      <w:spacing w:line="298" w:lineRule="auto"/>
      <w:ind w:firstLine="312"/>
      <w:jc w:val="both"/>
      <w:textAlignment w:val="center"/>
    </w:pPr>
    <w:rPr>
      <w:color w:val="000000"/>
      <w:sz w:val="20"/>
      <w:lang w:val="en-US"/>
    </w:rPr>
  </w:style>
  <w:style w:type="paragraph" w:styleId="Turinioantrat">
    <w:name w:val="TOC Heading"/>
    <w:basedOn w:val="Antrat1"/>
    <w:next w:val="prastasis"/>
    <w:uiPriority w:val="39"/>
    <w:semiHidden/>
    <w:unhideWhenUsed/>
    <w:qFormat/>
    <w:rsid w:val="001B56EF"/>
    <w:pPr>
      <w:keepLines/>
      <w:spacing w:before="480" w:after="0" w:line="276" w:lineRule="auto"/>
      <w:outlineLvl w:val="9"/>
    </w:pPr>
    <w:rPr>
      <w:color w:val="365F91"/>
      <w:kern w:val="0"/>
      <w:sz w:val="28"/>
      <w:szCs w:val="28"/>
    </w:rPr>
  </w:style>
  <w:style w:type="paragraph" w:customStyle="1" w:styleId="Rodykl1">
    <w:name w:val="Rodyklė 1"/>
    <w:basedOn w:val="prastasis"/>
    <w:next w:val="prastasis"/>
    <w:autoRedefine/>
    <w:uiPriority w:val="99"/>
    <w:semiHidden/>
    <w:unhideWhenUsed/>
    <w:rsid w:val="001B56EF"/>
    <w:pPr>
      <w:ind w:left="240" w:hanging="240"/>
    </w:pPr>
  </w:style>
  <w:style w:type="paragraph" w:styleId="Turinys1">
    <w:name w:val="toc 1"/>
    <w:basedOn w:val="prastasis"/>
    <w:next w:val="prastasis"/>
    <w:autoRedefine/>
    <w:uiPriority w:val="39"/>
    <w:unhideWhenUsed/>
    <w:rsid w:val="001B56EF"/>
  </w:style>
  <w:style w:type="character" w:styleId="Grietas">
    <w:name w:val="Strong"/>
    <w:basedOn w:val="Numatytasispastraiposriftas"/>
    <w:uiPriority w:val="22"/>
    <w:qFormat/>
    <w:rsid w:val="008973E4"/>
    <w:rPr>
      <w:b/>
      <w:bCs/>
    </w:rPr>
  </w:style>
  <w:style w:type="paragraph" w:styleId="Betarp">
    <w:name w:val="No Spacing"/>
    <w:uiPriority w:val="1"/>
    <w:qFormat/>
    <w:rsid w:val="006A1D61"/>
    <w:rPr>
      <w:rFonts w:eastAsia="Times New Roman"/>
      <w:sz w:val="24"/>
      <w:lang w:eastAsia="en-US"/>
    </w:rPr>
  </w:style>
  <w:style w:type="paragraph" w:styleId="Antrat">
    <w:name w:val="caption"/>
    <w:basedOn w:val="prastasis"/>
    <w:next w:val="prastasis"/>
    <w:uiPriority w:val="35"/>
    <w:semiHidden/>
    <w:unhideWhenUsed/>
    <w:qFormat/>
    <w:rsid w:val="009B101F"/>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29546">
      <w:bodyDiv w:val="1"/>
      <w:marLeft w:val="0"/>
      <w:marRight w:val="0"/>
      <w:marTop w:val="0"/>
      <w:marBottom w:val="0"/>
      <w:divBdr>
        <w:top w:val="none" w:sz="0" w:space="0" w:color="auto"/>
        <w:left w:val="none" w:sz="0" w:space="0" w:color="auto"/>
        <w:bottom w:val="none" w:sz="0" w:space="0" w:color="auto"/>
        <w:right w:val="none" w:sz="0" w:space="0" w:color="auto"/>
      </w:divBdr>
    </w:div>
    <w:div w:id="316156556">
      <w:bodyDiv w:val="1"/>
      <w:marLeft w:val="0"/>
      <w:marRight w:val="0"/>
      <w:marTop w:val="0"/>
      <w:marBottom w:val="0"/>
      <w:divBdr>
        <w:top w:val="none" w:sz="0" w:space="0" w:color="auto"/>
        <w:left w:val="none" w:sz="0" w:space="0" w:color="auto"/>
        <w:bottom w:val="none" w:sz="0" w:space="0" w:color="auto"/>
        <w:right w:val="none" w:sz="0" w:space="0" w:color="auto"/>
      </w:divBdr>
    </w:div>
    <w:div w:id="445930145">
      <w:bodyDiv w:val="1"/>
      <w:marLeft w:val="0"/>
      <w:marRight w:val="0"/>
      <w:marTop w:val="0"/>
      <w:marBottom w:val="0"/>
      <w:divBdr>
        <w:top w:val="none" w:sz="0" w:space="0" w:color="auto"/>
        <w:left w:val="none" w:sz="0" w:space="0" w:color="auto"/>
        <w:bottom w:val="none" w:sz="0" w:space="0" w:color="auto"/>
        <w:right w:val="none" w:sz="0" w:space="0" w:color="auto"/>
      </w:divBdr>
      <w:divsChild>
        <w:div w:id="330527486">
          <w:marLeft w:val="0"/>
          <w:marRight w:val="0"/>
          <w:marTop w:val="0"/>
          <w:marBottom w:val="0"/>
          <w:divBdr>
            <w:top w:val="none" w:sz="0" w:space="0" w:color="auto"/>
            <w:left w:val="none" w:sz="0" w:space="0" w:color="auto"/>
            <w:bottom w:val="none" w:sz="0" w:space="0" w:color="auto"/>
            <w:right w:val="none" w:sz="0" w:space="0" w:color="auto"/>
          </w:divBdr>
          <w:divsChild>
            <w:div w:id="2072003215">
              <w:marLeft w:val="0"/>
              <w:marRight w:val="0"/>
              <w:marTop w:val="0"/>
              <w:marBottom w:val="0"/>
              <w:divBdr>
                <w:top w:val="none" w:sz="0" w:space="0" w:color="auto"/>
                <w:left w:val="none" w:sz="0" w:space="0" w:color="auto"/>
                <w:bottom w:val="none" w:sz="0" w:space="0" w:color="auto"/>
                <w:right w:val="none" w:sz="0" w:space="0" w:color="auto"/>
              </w:divBdr>
              <w:divsChild>
                <w:div w:id="360277839">
                  <w:marLeft w:val="0"/>
                  <w:marRight w:val="0"/>
                  <w:marTop w:val="0"/>
                  <w:marBottom w:val="0"/>
                  <w:divBdr>
                    <w:top w:val="none" w:sz="0" w:space="0" w:color="auto"/>
                    <w:left w:val="none" w:sz="0" w:space="0" w:color="auto"/>
                    <w:bottom w:val="none" w:sz="0" w:space="0" w:color="auto"/>
                    <w:right w:val="none" w:sz="0" w:space="0" w:color="auto"/>
                  </w:divBdr>
                  <w:divsChild>
                    <w:div w:id="594018451">
                      <w:marLeft w:val="0"/>
                      <w:marRight w:val="0"/>
                      <w:marTop w:val="0"/>
                      <w:marBottom w:val="0"/>
                      <w:divBdr>
                        <w:top w:val="none" w:sz="0" w:space="0" w:color="auto"/>
                        <w:left w:val="none" w:sz="0" w:space="0" w:color="auto"/>
                        <w:bottom w:val="none" w:sz="0" w:space="0" w:color="auto"/>
                        <w:right w:val="none" w:sz="0" w:space="0" w:color="auto"/>
                      </w:divBdr>
                      <w:divsChild>
                        <w:div w:id="1035498238">
                          <w:marLeft w:val="0"/>
                          <w:marRight w:val="161"/>
                          <w:marTop w:val="0"/>
                          <w:marBottom w:val="0"/>
                          <w:divBdr>
                            <w:top w:val="none" w:sz="0" w:space="0" w:color="auto"/>
                            <w:left w:val="none" w:sz="0" w:space="0" w:color="auto"/>
                            <w:bottom w:val="none" w:sz="0" w:space="0" w:color="auto"/>
                            <w:right w:val="none" w:sz="0" w:space="0" w:color="auto"/>
                          </w:divBdr>
                          <w:divsChild>
                            <w:div w:id="1528715302">
                              <w:marLeft w:val="0"/>
                              <w:marRight w:val="0"/>
                              <w:marTop w:val="0"/>
                              <w:marBottom w:val="0"/>
                              <w:divBdr>
                                <w:top w:val="none" w:sz="0" w:space="0" w:color="auto"/>
                                <w:left w:val="none" w:sz="0" w:space="0" w:color="auto"/>
                                <w:bottom w:val="none" w:sz="0" w:space="0" w:color="auto"/>
                                <w:right w:val="none" w:sz="0" w:space="0" w:color="auto"/>
                              </w:divBdr>
                              <w:divsChild>
                                <w:div w:id="17827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5874182">
      <w:bodyDiv w:val="1"/>
      <w:marLeft w:val="0"/>
      <w:marRight w:val="0"/>
      <w:marTop w:val="0"/>
      <w:marBottom w:val="0"/>
      <w:divBdr>
        <w:top w:val="none" w:sz="0" w:space="0" w:color="auto"/>
        <w:left w:val="none" w:sz="0" w:space="0" w:color="auto"/>
        <w:bottom w:val="none" w:sz="0" w:space="0" w:color="auto"/>
        <w:right w:val="none" w:sz="0" w:space="0" w:color="auto"/>
      </w:divBdr>
    </w:div>
    <w:div w:id="504903764">
      <w:bodyDiv w:val="1"/>
      <w:marLeft w:val="0"/>
      <w:marRight w:val="0"/>
      <w:marTop w:val="0"/>
      <w:marBottom w:val="0"/>
      <w:divBdr>
        <w:top w:val="none" w:sz="0" w:space="0" w:color="auto"/>
        <w:left w:val="none" w:sz="0" w:space="0" w:color="auto"/>
        <w:bottom w:val="none" w:sz="0" w:space="0" w:color="auto"/>
        <w:right w:val="none" w:sz="0" w:space="0" w:color="auto"/>
      </w:divBdr>
    </w:div>
    <w:div w:id="752238428">
      <w:bodyDiv w:val="1"/>
      <w:marLeft w:val="0"/>
      <w:marRight w:val="0"/>
      <w:marTop w:val="0"/>
      <w:marBottom w:val="0"/>
      <w:divBdr>
        <w:top w:val="none" w:sz="0" w:space="0" w:color="auto"/>
        <w:left w:val="none" w:sz="0" w:space="0" w:color="auto"/>
        <w:bottom w:val="none" w:sz="0" w:space="0" w:color="auto"/>
        <w:right w:val="none" w:sz="0" w:space="0" w:color="auto"/>
      </w:divBdr>
      <w:divsChild>
        <w:div w:id="612202355">
          <w:marLeft w:val="0"/>
          <w:marRight w:val="0"/>
          <w:marTop w:val="0"/>
          <w:marBottom w:val="0"/>
          <w:divBdr>
            <w:top w:val="none" w:sz="0" w:space="0" w:color="auto"/>
            <w:left w:val="none" w:sz="0" w:space="0" w:color="auto"/>
            <w:bottom w:val="none" w:sz="0" w:space="0" w:color="auto"/>
            <w:right w:val="none" w:sz="0" w:space="0" w:color="auto"/>
          </w:divBdr>
        </w:div>
      </w:divsChild>
    </w:div>
    <w:div w:id="787896638">
      <w:bodyDiv w:val="1"/>
      <w:marLeft w:val="0"/>
      <w:marRight w:val="0"/>
      <w:marTop w:val="0"/>
      <w:marBottom w:val="0"/>
      <w:divBdr>
        <w:top w:val="none" w:sz="0" w:space="0" w:color="auto"/>
        <w:left w:val="none" w:sz="0" w:space="0" w:color="auto"/>
        <w:bottom w:val="none" w:sz="0" w:space="0" w:color="auto"/>
        <w:right w:val="none" w:sz="0" w:space="0" w:color="auto"/>
      </w:divBdr>
      <w:divsChild>
        <w:div w:id="1996106569">
          <w:marLeft w:val="0"/>
          <w:marRight w:val="0"/>
          <w:marTop w:val="0"/>
          <w:marBottom w:val="0"/>
          <w:divBdr>
            <w:top w:val="none" w:sz="0" w:space="0" w:color="auto"/>
            <w:left w:val="none" w:sz="0" w:space="0" w:color="auto"/>
            <w:bottom w:val="none" w:sz="0" w:space="0" w:color="auto"/>
            <w:right w:val="none" w:sz="0" w:space="0" w:color="auto"/>
          </w:divBdr>
        </w:div>
      </w:divsChild>
    </w:div>
    <w:div w:id="883908238">
      <w:bodyDiv w:val="1"/>
      <w:marLeft w:val="0"/>
      <w:marRight w:val="0"/>
      <w:marTop w:val="0"/>
      <w:marBottom w:val="0"/>
      <w:divBdr>
        <w:top w:val="none" w:sz="0" w:space="0" w:color="auto"/>
        <w:left w:val="none" w:sz="0" w:space="0" w:color="auto"/>
        <w:bottom w:val="none" w:sz="0" w:space="0" w:color="auto"/>
        <w:right w:val="none" w:sz="0" w:space="0" w:color="auto"/>
      </w:divBdr>
    </w:div>
    <w:div w:id="1021736270">
      <w:bodyDiv w:val="1"/>
      <w:marLeft w:val="0"/>
      <w:marRight w:val="0"/>
      <w:marTop w:val="0"/>
      <w:marBottom w:val="0"/>
      <w:divBdr>
        <w:top w:val="none" w:sz="0" w:space="0" w:color="auto"/>
        <w:left w:val="none" w:sz="0" w:space="0" w:color="auto"/>
        <w:bottom w:val="none" w:sz="0" w:space="0" w:color="auto"/>
        <w:right w:val="none" w:sz="0" w:space="0" w:color="auto"/>
      </w:divBdr>
    </w:div>
    <w:div w:id="1646547423">
      <w:bodyDiv w:val="1"/>
      <w:marLeft w:val="0"/>
      <w:marRight w:val="0"/>
      <w:marTop w:val="0"/>
      <w:marBottom w:val="0"/>
      <w:divBdr>
        <w:top w:val="none" w:sz="0" w:space="0" w:color="auto"/>
        <w:left w:val="none" w:sz="0" w:space="0" w:color="auto"/>
        <w:bottom w:val="none" w:sz="0" w:space="0" w:color="auto"/>
        <w:right w:val="none" w:sz="0" w:space="0" w:color="auto"/>
      </w:divBdr>
    </w:div>
    <w:div w:id="1678848205">
      <w:bodyDiv w:val="1"/>
      <w:marLeft w:val="0"/>
      <w:marRight w:val="0"/>
      <w:marTop w:val="0"/>
      <w:marBottom w:val="0"/>
      <w:divBdr>
        <w:top w:val="none" w:sz="0" w:space="0" w:color="auto"/>
        <w:left w:val="none" w:sz="0" w:space="0" w:color="auto"/>
        <w:bottom w:val="none" w:sz="0" w:space="0" w:color="auto"/>
        <w:right w:val="none" w:sz="0" w:space="0" w:color="auto"/>
      </w:divBdr>
      <w:divsChild>
        <w:div w:id="567806956">
          <w:marLeft w:val="0"/>
          <w:marRight w:val="0"/>
          <w:marTop w:val="0"/>
          <w:marBottom w:val="0"/>
          <w:divBdr>
            <w:top w:val="none" w:sz="0" w:space="0" w:color="auto"/>
            <w:left w:val="none" w:sz="0" w:space="0" w:color="auto"/>
            <w:bottom w:val="none" w:sz="0" w:space="0" w:color="auto"/>
            <w:right w:val="none" w:sz="0" w:space="0" w:color="auto"/>
          </w:divBdr>
          <w:divsChild>
            <w:div w:id="1303929914">
              <w:marLeft w:val="0"/>
              <w:marRight w:val="0"/>
              <w:marTop w:val="0"/>
              <w:marBottom w:val="0"/>
              <w:divBdr>
                <w:top w:val="none" w:sz="0" w:space="0" w:color="auto"/>
                <w:left w:val="none" w:sz="0" w:space="0" w:color="auto"/>
                <w:bottom w:val="none" w:sz="0" w:space="0" w:color="auto"/>
                <w:right w:val="none" w:sz="0" w:space="0" w:color="auto"/>
              </w:divBdr>
              <w:divsChild>
                <w:div w:id="1568415314">
                  <w:marLeft w:val="0"/>
                  <w:marRight w:val="0"/>
                  <w:marTop w:val="0"/>
                  <w:marBottom w:val="0"/>
                  <w:divBdr>
                    <w:top w:val="none" w:sz="0" w:space="0" w:color="auto"/>
                    <w:left w:val="none" w:sz="0" w:space="0" w:color="auto"/>
                    <w:bottom w:val="none" w:sz="0" w:space="0" w:color="auto"/>
                    <w:right w:val="none" w:sz="0" w:space="0" w:color="auto"/>
                  </w:divBdr>
                  <w:divsChild>
                    <w:div w:id="1441097614">
                      <w:marLeft w:val="0"/>
                      <w:marRight w:val="0"/>
                      <w:marTop w:val="0"/>
                      <w:marBottom w:val="0"/>
                      <w:divBdr>
                        <w:top w:val="none" w:sz="0" w:space="0" w:color="auto"/>
                        <w:left w:val="none" w:sz="0" w:space="0" w:color="auto"/>
                        <w:bottom w:val="none" w:sz="0" w:space="0" w:color="auto"/>
                        <w:right w:val="none" w:sz="0" w:space="0" w:color="auto"/>
                      </w:divBdr>
                      <w:divsChild>
                        <w:div w:id="1977837824">
                          <w:marLeft w:val="0"/>
                          <w:marRight w:val="225"/>
                          <w:marTop w:val="0"/>
                          <w:marBottom w:val="0"/>
                          <w:divBdr>
                            <w:top w:val="none" w:sz="0" w:space="0" w:color="auto"/>
                            <w:left w:val="none" w:sz="0" w:space="0" w:color="auto"/>
                            <w:bottom w:val="none" w:sz="0" w:space="0" w:color="auto"/>
                            <w:right w:val="none" w:sz="0" w:space="0" w:color="auto"/>
                          </w:divBdr>
                          <w:divsChild>
                            <w:div w:id="24405442">
                              <w:marLeft w:val="0"/>
                              <w:marRight w:val="0"/>
                              <w:marTop w:val="0"/>
                              <w:marBottom w:val="0"/>
                              <w:divBdr>
                                <w:top w:val="none" w:sz="0" w:space="0" w:color="auto"/>
                                <w:left w:val="none" w:sz="0" w:space="0" w:color="auto"/>
                                <w:bottom w:val="none" w:sz="0" w:space="0" w:color="auto"/>
                                <w:right w:val="none" w:sz="0" w:space="0" w:color="auto"/>
                              </w:divBdr>
                              <w:divsChild>
                                <w:div w:id="860358723">
                                  <w:marLeft w:val="0"/>
                                  <w:marRight w:val="0"/>
                                  <w:marTop w:val="0"/>
                                  <w:marBottom w:val="0"/>
                                  <w:divBdr>
                                    <w:top w:val="none" w:sz="0" w:space="0" w:color="auto"/>
                                    <w:left w:val="none" w:sz="0" w:space="0" w:color="auto"/>
                                    <w:bottom w:val="single" w:sz="6" w:space="11" w:color="E2DFDE"/>
                                    <w:right w:val="none" w:sz="0" w:space="0" w:color="auto"/>
                                  </w:divBdr>
                                  <w:divsChild>
                                    <w:div w:id="743140064">
                                      <w:marLeft w:val="0"/>
                                      <w:marRight w:val="0"/>
                                      <w:marTop w:val="0"/>
                                      <w:marBottom w:val="0"/>
                                      <w:divBdr>
                                        <w:top w:val="none" w:sz="0" w:space="0" w:color="auto"/>
                                        <w:left w:val="none" w:sz="0" w:space="0" w:color="auto"/>
                                        <w:bottom w:val="none" w:sz="0" w:space="0" w:color="auto"/>
                                        <w:right w:val="none" w:sz="0" w:space="0" w:color="auto"/>
                                      </w:divBdr>
                                      <w:divsChild>
                                        <w:div w:id="48948882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oleObject" Target="file:///C:\Users\R.Bolnaite08\Desktop\Apzvalgos\Pasvalys\Book1.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lt-LT" sz="1200" b="0" i="1">
                <a:latin typeface="Times New Roman" panose="02020603050405020304" pitchFamily="18" charset="0"/>
                <a:cs typeface="Times New Roman" panose="02020603050405020304" pitchFamily="18" charset="0"/>
              </a:rPr>
              <a:t>2017 m. baigtų bylų skaičius pagal kategorijas</a:t>
            </a:r>
          </a:p>
        </c:rich>
      </c:tx>
      <c:layout>
        <c:manualLayout>
          <c:xMode val="edge"/>
          <c:yMode val="edge"/>
          <c:x val="0.16602342097413583"/>
          <c:y val="0.81157374735356391"/>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6.8309277082920629E-7"/>
          <c:y val="3.5278591234670122E-2"/>
          <c:w val="0.69255838735458664"/>
          <c:h val="0.75604220961441215"/>
        </c:manualLayout>
      </c:layout>
      <c:pie3DChart>
        <c:varyColors val="1"/>
        <c:ser>
          <c:idx val="0"/>
          <c:order val="0"/>
          <c:tx>
            <c:strRef>
              <c:f>Lapas1!$B$1</c:f>
              <c:strCache>
                <c:ptCount val="1"/>
                <c:pt idx="0">
                  <c:v>Stulpelis1</c:v>
                </c:pt>
              </c:strCache>
            </c:strRef>
          </c:tx>
          <c:dLbls>
            <c:dLbl>
              <c:idx val="0"/>
              <c:layout>
                <c:manualLayout>
                  <c:x val="-5.2637842777056618E-2"/>
                  <c:y val="7.1081005285298246E-2"/>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0-5E5A-48D8-9F77-15F14B3A8A99}"/>
                </c:ext>
              </c:extLst>
            </c:dLbl>
            <c:dLbl>
              <c:idx val="1"/>
              <c:layout>
                <c:manualLayout>
                  <c:x val="-0.10062616837326011"/>
                  <c:y val="-0.30382123290146296"/>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E5A-48D8-9F77-15F14B3A8A99}"/>
                </c:ext>
              </c:extLst>
            </c:dLbl>
            <c:dLbl>
              <c:idx val="2"/>
              <c:layout>
                <c:manualLayout>
                  <c:x val="9.0782573848020992E-2"/>
                  <c:y val="9.2685814989729068E-2"/>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5E5A-48D8-9F77-15F14B3A8A99}"/>
                </c:ext>
              </c:extLst>
            </c:dLbl>
            <c:spPr>
              <a:noFill/>
              <a:ln>
                <a:noFill/>
              </a:ln>
              <a:effectLst/>
            </c:spPr>
            <c:txPr>
              <a:bodyPr/>
              <a:lstStyle/>
              <a:p>
                <a:pPr>
                  <a:defRPr sz="800">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1"/>
            <c:showBubbleSize val="0"/>
            <c:showLeaderLines val="1"/>
            <c:extLst>
              <c:ext xmlns:c15="http://schemas.microsoft.com/office/drawing/2012/chart" uri="{CE6537A1-D6FC-4f65-9D91-7224C49458BB}"/>
            </c:extLst>
          </c:dLbls>
          <c:cat>
            <c:strRef>
              <c:f>Lapas1!$A$2:$A$4</c:f>
              <c:strCache>
                <c:ptCount val="3"/>
                <c:pt idx="0">
                  <c:v>Baudžiamosios bylos</c:v>
                </c:pt>
                <c:pt idx="1">
                  <c:v>Civilinės bylos</c:v>
                </c:pt>
                <c:pt idx="2">
                  <c:v>Administracinių nusižengimų bylos</c:v>
                </c:pt>
              </c:strCache>
            </c:strRef>
          </c:cat>
          <c:val>
            <c:numRef>
              <c:f>Lapas1!$B$2:$B$4</c:f>
              <c:numCache>
                <c:formatCode>General</c:formatCode>
                <c:ptCount val="3"/>
                <c:pt idx="0">
                  <c:v>141</c:v>
                </c:pt>
                <c:pt idx="1">
                  <c:v>1150</c:v>
                </c:pt>
                <c:pt idx="2">
                  <c:v>234</c:v>
                </c:pt>
              </c:numCache>
            </c:numRef>
          </c:val>
          <c:extLst>
            <c:ext xmlns:c16="http://schemas.microsoft.com/office/drawing/2014/chart" uri="{C3380CC4-5D6E-409C-BE32-E72D297353CC}">
              <c16:uniqueId val="{00000003-5E5A-48D8-9F77-15F14B3A8A99}"/>
            </c:ext>
          </c:extLst>
        </c:ser>
        <c:dLbls>
          <c:showLegendKey val="0"/>
          <c:showVal val="0"/>
          <c:showCatName val="0"/>
          <c:showSerName val="0"/>
          <c:showPercent val="0"/>
          <c:showBubbleSize val="0"/>
          <c:showLeaderLines val="1"/>
        </c:dLbls>
      </c:pie3DChart>
    </c:plotArea>
    <c:legend>
      <c:legendPos val="r"/>
      <c:layout>
        <c:manualLayout>
          <c:xMode val="edge"/>
          <c:yMode val="edge"/>
          <c:x val="0.62778639233660993"/>
          <c:y val="0.1259486883123378"/>
          <c:w val="0.29520914333879716"/>
          <c:h val="0.45908937157215685"/>
        </c:manualLayout>
      </c:layout>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800"/>
            </a:pPr>
            <a:r>
              <a:rPr lang="lt-LT" sz="1800" b="0" i="1" baseline="0">
                <a:effectLst/>
                <a:latin typeface="Times New Roman" panose="02020603050405020304" pitchFamily="18" charset="0"/>
                <a:cs typeface="Times New Roman" panose="02020603050405020304" pitchFamily="18" charset="0"/>
              </a:rPr>
              <a:t>Baudžiamųjų</a:t>
            </a:r>
            <a:r>
              <a:rPr lang="lt-LT" sz="2800" b="0" i="1" baseline="0">
                <a:effectLst/>
                <a:latin typeface="Times New Roman" panose="02020603050405020304" pitchFamily="18" charset="0"/>
                <a:cs typeface="Times New Roman" panose="02020603050405020304" pitchFamily="18" charset="0"/>
              </a:rPr>
              <a:t> </a:t>
            </a:r>
            <a:r>
              <a:rPr lang="lt-LT" sz="1800" b="0" i="1" baseline="0">
                <a:effectLst/>
                <a:latin typeface="Times New Roman" panose="02020603050405020304" pitchFamily="18" charset="0"/>
                <a:cs typeface="Times New Roman" panose="02020603050405020304" pitchFamily="18" charset="0"/>
              </a:rPr>
              <a:t>bylų nagrinėjimo statistika</a:t>
            </a:r>
            <a:endParaRPr lang="lt-LT" sz="1800">
              <a:effectLst/>
              <a:latin typeface="Times New Roman" panose="02020603050405020304" pitchFamily="18" charset="0"/>
              <a:cs typeface="Times New Roman" panose="02020603050405020304" pitchFamily="18" charset="0"/>
            </a:endParaRPr>
          </a:p>
        </c:rich>
      </c:tx>
      <c:overlay val="0"/>
    </c:title>
    <c:autoTitleDeleted val="0"/>
    <c:plotArea>
      <c:layout/>
      <c:barChart>
        <c:barDir val="col"/>
        <c:grouping val="clustered"/>
        <c:varyColors val="0"/>
        <c:ser>
          <c:idx val="0"/>
          <c:order val="0"/>
          <c:tx>
            <c:strRef>
              <c:f>Lapas1!$B$1</c:f>
              <c:strCache>
                <c:ptCount val="1"/>
                <c:pt idx="0">
                  <c:v>Stulpelis1</c:v>
                </c:pt>
              </c:strCache>
            </c:strRef>
          </c:tx>
          <c:invertIfNegative val="0"/>
          <c:dLbls>
            <c:dLbl>
              <c:idx val="0"/>
              <c:layout>
                <c:manualLayout>
                  <c:x val="6.7129629629629636E-2"/>
                  <c:y val="3.9682539682539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13D-4B27-ADC4-7A4486B2987A}"/>
                </c:ext>
              </c:extLst>
            </c:dLbl>
            <c:spPr>
              <a:noFill/>
              <a:ln>
                <a:noFill/>
              </a:ln>
              <a:effectLst/>
            </c:spPr>
            <c:txPr>
              <a:bodyPr/>
              <a:lstStyle/>
              <a:p>
                <a:pPr>
                  <a:defRPr>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Priimta nuosprendžių</c:v>
                </c:pt>
                <c:pt idx="1">
                  <c:v>Apskųsta nuosprendžių</c:v>
                </c:pt>
                <c:pt idx="2">
                  <c:v>Pakeista nuosprendžių</c:v>
                </c:pt>
                <c:pt idx="3">
                  <c:v>Panaikinta nuosprendžių</c:v>
                </c:pt>
              </c:strCache>
            </c:strRef>
          </c:cat>
          <c:val>
            <c:numRef>
              <c:f>Lapas1!$B$2:$B$5</c:f>
              <c:numCache>
                <c:formatCode>General</c:formatCode>
                <c:ptCount val="4"/>
                <c:pt idx="0">
                  <c:v>38</c:v>
                </c:pt>
                <c:pt idx="1">
                  <c:v>9</c:v>
                </c:pt>
                <c:pt idx="2">
                  <c:v>0</c:v>
                </c:pt>
                <c:pt idx="3">
                  <c:v>1</c:v>
                </c:pt>
              </c:numCache>
            </c:numRef>
          </c:val>
          <c:extLst>
            <c:ext xmlns:c16="http://schemas.microsoft.com/office/drawing/2014/chart" uri="{C3380CC4-5D6E-409C-BE32-E72D297353CC}">
              <c16:uniqueId val="{00000001-513D-4B27-ADC4-7A4486B2987A}"/>
            </c:ext>
          </c:extLst>
        </c:ser>
        <c:dLbls>
          <c:showLegendKey val="0"/>
          <c:showVal val="0"/>
          <c:showCatName val="0"/>
          <c:showSerName val="0"/>
          <c:showPercent val="0"/>
          <c:showBubbleSize val="0"/>
        </c:dLbls>
        <c:gapWidth val="150"/>
        <c:axId val="32148864"/>
        <c:axId val="32580736"/>
      </c:barChart>
      <c:catAx>
        <c:axId val="32148864"/>
        <c:scaling>
          <c:orientation val="minMax"/>
        </c:scaling>
        <c:delete val="0"/>
        <c:axPos val="b"/>
        <c:numFmt formatCode="General" sourceLinked="0"/>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32580736"/>
        <c:crosses val="autoZero"/>
        <c:auto val="1"/>
        <c:lblAlgn val="ctr"/>
        <c:lblOffset val="100"/>
        <c:noMultiLvlLbl val="0"/>
      </c:catAx>
      <c:valAx>
        <c:axId val="32580736"/>
        <c:scaling>
          <c:orientation val="minMax"/>
        </c:scaling>
        <c:delete val="0"/>
        <c:axPos val="l"/>
        <c:majorGridlines/>
        <c:numFmt formatCode="General" sourceLinked="1"/>
        <c:majorTickMark val="out"/>
        <c:minorTickMark val="none"/>
        <c:tickLblPos val="nextTo"/>
        <c:crossAx val="32148864"/>
        <c:crosses val="autoZero"/>
        <c:crossBetween val="between"/>
      </c:valAx>
    </c:plotArea>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800"/>
            </a:pPr>
            <a:r>
              <a:rPr lang="lt-LT" sz="1800" b="0" i="1">
                <a:latin typeface="Times New Roman" panose="02020603050405020304" pitchFamily="18" charset="0"/>
                <a:cs typeface="Times New Roman" panose="02020603050405020304" pitchFamily="18" charset="0"/>
              </a:rPr>
              <a:t>Civilinių bylų nagrinėjimo statistika
</a:t>
            </a:r>
          </a:p>
        </c:rich>
      </c:tx>
      <c:overlay val="0"/>
    </c:title>
    <c:autoTitleDeleted val="0"/>
    <c:plotArea>
      <c:layout/>
      <c:barChart>
        <c:barDir val="col"/>
        <c:grouping val="clustered"/>
        <c:varyColors val="0"/>
        <c:ser>
          <c:idx val="0"/>
          <c:order val="0"/>
          <c:tx>
            <c:strRef>
              <c:f>Lapas1!$B$1</c:f>
              <c:strCache>
                <c:ptCount val="1"/>
                <c:pt idx="0">
                  <c:v>Civilinių bylų nagrinėjimo statistika</c:v>
                </c:pt>
              </c:strCache>
            </c:strRef>
          </c:tx>
          <c:invertIfNegative val="0"/>
          <c:dLbls>
            <c:spPr>
              <a:noFill/>
              <a:ln>
                <a:noFill/>
              </a:ln>
              <a:effectLst/>
            </c:spPr>
            <c:txPr>
              <a:bodyPr/>
              <a:lstStyle/>
              <a:p>
                <a:pPr>
                  <a:defRPr>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Priimta sprendimų</c:v>
                </c:pt>
                <c:pt idx="1">
                  <c:v>Apskųsta sprendimų</c:v>
                </c:pt>
                <c:pt idx="2">
                  <c:v>Pakeista sprendimų</c:v>
                </c:pt>
                <c:pt idx="3">
                  <c:v>Panaikinta sprendimų</c:v>
                </c:pt>
              </c:strCache>
            </c:strRef>
          </c:cat>
          <c:val>
            <c:numRef>
              <c:f>Lapas1!$B$2:$B$5</c:f>
              <c:numCache>
                <c:formatCode>General</c:formatCode>
                <c:ptCount val="4"/>
                <c:pt idx="0">
                  <c:v>195</c:v>
                </c:pt>
                <c:pt idx="1">
                  <c:v>7</c:v>
                </c:pt>
                <c:pt idx="2">
                  <c:v>1</c:v>
                </c:pt>
                <c:pt idx="3">
                  <c:v>2</c:v>
                </c:pt>
              </c:numCache>
            </c:numRef>
          </c:val>
          <c:extLst>
            <c:ext xmlns:c16="http://schemas.microsoft.com/office/drawing/2014/chart" uri="{C3380CC4-5D6E-409C-BE32-E72D297353CC}">
              <c16:uniqueId val="{00000000-D228-4A12-9EC9-5531E30B94DD}"/>
            </c:ext>
          </c:extLst>
        </c:ser>
        <c:dLbls>
          <c:showLegendKey val="0"/>
          <c:showVal val="0"/>
          <c:showCatName val="0"/>
          <c:showSerName val="0"/>
          <c:showPercent val="0"/>
          <c:showBubbleSize val="0"/>
        </c:dLbls>
        <c:gapWidth val="150"/>
        <c:axId val="32620928"/>
        <c:axId val="32622464"/>
      </c:barChart>
      <c:catAx>
        <c:axId val="32620928"/>
        <c:scaling>
          <c:orientation val="minMax"/>
        </c:scaling>
        <c:delete val="0"/>
        <c:axPos val="b"/>
        <c:numFmt formatCode="General" sourceLinked="0"/>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32622464"/>
        <c:crosses val="autoZero"/>
        <c:auto val="1"/>
        <c:lblAlgn val="ctr"/>
        <c:lblOffset val="100"/>
        <c:noMultiLvlLbl val="0"/>
      </c:catAx>
      <c:valAx>
        <c:axId val="32622464"/>
        <c:scaling>
          <c:orientation val="minMax"/>
        </c:scaling>
        <c:delete val="0"/>
        <c:axPos val="l"/>
        <c:majorGridlines/>
        <c:numFmt formatCode="General" sourceLinked="1"/>
        <c:majorTickMark val="out"/>
        <c:minorTickMark val="none"/>
        <c:tickLblPos val="nextTo"/>
        <c:crossAx val="32620928"/>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lt-LT" b="0" i="1">
                <a:latin typeface="Times New Roman" panose="02020603050405020304" pitchFamily="18" charset="0"/>
                <a:cs typeface="Times New Roman" panose="02020603050405020304" pitchFamily="18" charset="0"/>
              </a:rPr>
              <a:t>Stabilumas</a:t>
            </a:r>
          </a:p>
        </c:rich>
      </c:tx>
      <c:overlay val="0"/>
    </c:title>
    <c:autoTitleDeleted val="0"/>
    <c:plotArea>
      <c:layout/>
      <c:barChart>
        <c:barDir val="col"/>
        <c:grouping val="clustered"/>
        <c:varyColors val="0"/>
        <c:ser>
          <c:idx val="0"/>
          <c:order val="0"/>
          <c:tx>
            <c:strRef>
              <c:f>Lapas1!$B$1</c:f>
              <c:strCache>
                <c:ptCount val="1"/>
                <c:pt idx="0">
                  <c:v>2016 m.</c:v>
                </c:pt>
              </c:strCache>
            </c:strRef>
          </c:tx>
          <c:invertIfNegative val="0"/>
          <c:dLbls>
            <c:spPr>
              <a:noFill/>
              <a:ln>
                <a:noFill/>
              </a:ln>
              <a:effectLst/>
            </c:spPr>
            <c:txPr>
              <a:bodyPr/>
              <a:lstStyle/>
              <a:p>
                <a:pPr>
                  <a:defRPr>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Lapas1!$A$2:$A$3</c:f>
              <c:strCache>
                <c:ptCount val="2"/>
                <c:pt idx="0">
                  <c:v>Baudžiamosios bylos</c:v>
                </c:pt>
                <c:pt idx="1">
                  <c:v>Civilinės bylos</c:v>
                </c:pt>
              </c:strCache>
            </c:strRef>
          </c:cat>
          <c:val>
            <c:numRef>
              <c:f>Lapas1!$B$2:$B$3</c:f>
              <c:numCache>
                <c:formatCode>General</c:formatCode>
                <c:ptCount val="2"/>
                <c:pt idx="0">
                  <c:v>100</c:v>
                </c:pt>
                <c:pt idx="1">
                  <c:v>99.84</c:v>
                </c:pt>
              </c:numCache>
            </c:numRef>
          </c:val>
          <c:extLst>
            <c:ext xmlns:c16="http://schemas.microsoft.com/office/drawing/2014/chart" uri="{C3380CC4-5D6E-409C-BE32-E72D297353CC}">
              <c16:uniqueId val="{00000000-A3DA-46E1-89D5-1619E2CAEA25}"/>
            </c:ext>
          </c:extLst>
        </c:ser>
        <c:ser>
          <c:idx val="1"/>
          <c:order val="1"/>
          <c:tx>
            <c:strRef>
              <c:f>Lapas1!$C$1</c:f>
              <c:strCache>
                <c:ptCount val="1"/>
                <c:pt idx="0">
                  <c:v>2017 m.</c:v>
                </c:pt>
              </c:strCache>
            </c:strRef>
          </c:tx>
          <c:invertIfNegative val="0"/>
          <c:dLbls>
            <c:spPr>
              <a:noFill/>
              <a:ln>
                <a:noFill/>
              </a:ln>
              <a:effectLst/>
            </c:spPr>
            <c:txPr>
              <a:bodyPr/>
              <a:lstStyle/>
              <a:p>
                <a:pPr>
                  <a:defRPr>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Lapas1!$A$2:$A$3</c:f>
              <c:strCache>
                <c:ptCount val="2"/>
                <c:pt idx="0">
                  <c:v>Baudžiamosios bylos</c:v>
                </c:pt>
                <c:pt idx="1">
                  <c:v>Civilinės bylos</c:v>
                </c:pt>
              </c:strCache>
            </c:strRef>
          </c:cat>
          <c:val>
            <c:numRef>
              <c:f>Lapas1!$C$2:$C$3</c:f>
              <c:numCache>
                <c:formatCode>General</c:formatCode>
                <c:ptCount val="2"/>
                <c:pt idx="0">
                  <c:v>97.37</c:v>
                </c:pt>
                <c:pt idx="1">
                  <c:v>99.84</c:v>
                </c:pt>
              </c:numCache>
            </c:numRef>
          </c:val>
          <c:extLst>
            <c:ext xmlns:c16="http://schemas.microsoft.com/office/drawing/2014/chart" uri="{C3380CC4-5D6E-409C-BE32-E72D297353CC}">
              <c16:uniqueId val="{00000001-A3DA-46E1-89D5-1619E2CAEA25}"/>
            </c:ext>
          </c:extLst>
        </c:ser>
        <c:dLbls>
          <c:showLegendKey val="0"/>
          <c:showVal val="1"/>
          <c:showCatName val="0"/>
          <c:showSerName val="0"/>
          <c:showPercent val="0"/>
          <c:showBubbleSize val="0"/>
        </c:dLbls>
        <c:gapWidth val="150"/>
        <c:overlap val="-25"/>
        <c:axId val="32156672"/>
        <c:axId val="32801536"/>
      </c:barChart>
      <c:catAx>
        <c:axId val="32156672"/>
        <c:scaling>
          <c:orientation val="minMax"/>
        </c:scaling>
        <c:delete val="0"/>
        <c:axPos val="b"/>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32801536"/>
        <c:crosses val="autoZero"/>
        <c:auto val="1"/>
        <c:lblAlgn val="ctr"/>
        <c:lblOffset val="100"/>
        <c:noMultiLvlLbl val="0"/>
      </c:catAx>
      <c:valAx>
        <c:axId val="32801536"/>
        <c:scaling>
          <c:orientation val="minMax"/>
        </c:scaling>
        <c:delete val="1"/>
        <c:axPos val="l"/>
        <c:numFmt formatCode="General" sourceLinked="1"/>
        <c:majorTickMark val="out"/>
        <c:minorTickMark val="none"/>
        <c:tickLblPos val="nextTo"/>
        <c:crossAx val="32156672"/>
        <c:crosses val="autoZero"/>
        <c:crossBetween val="between"/>
      </c:valAx>
    </c:plotArea>
    <c:legend>
      <c:legendPos val="t"/>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800"/>
            </a:pPr>
            <a:r>
              <a:rPr lang="lt-LT" sz="1800" b="0" i="1" baseline="0">
                <a:effectLst/>
                <a:latin typeface="Times New Roman" panose="02020603050405020304" pitchFamily="18" charset="0"/>
                <a:cs typeface="Times New Roman" panose="02020603050405020304" pitchFamily="18" charset="0"/>
              </a:rPr>
              <a:t>Baigta nagrinėti bylų</a:t>
            </a:r>
            <a:endParaRPr lang="lt-LT" sz="1800">
              <a:effectLst/>
              <a:latin typeface="Times New Roman" panose="02020603050405020304" pitchFamily="18" charset="0"/>
              <a:cs typeface="Times New Roman" panose="02020603050405020304" pitchFamily="18" charset="0"/>
            </a:endParaRPr>
          </a:p>
        </c:rich>
      </c:tx>
      <c:overlay val="0"/>
    </c:title>
    <c:autoTitleDeleted val="0"/>
    <c:plotArea>
      <c:layout/>
      <c:barChart>
        <c:barDir val="col"/>
        <c:grouping val="clustered"/>
        <c:varyColors val="0"/>
        <c:ser>
          <c:idx val="0"/>
          <c:order val="0"/>
          <c:tx>
            <c:strRef>
              <c:f>Lapas1!$B$1</c:f>
              <c:strCache>
                <c:ptCount val="1"/>
                <c:pt idx="0">
                  <c:v>2016 m. </c:v>
                </c:pt>
              </c:strCache>
            </c:strRef>
          </c:tx>
          <c:invertIfNegative val="0"/>
          <c:dLbls>
            <c:spPr>
              <a:noFill/>
              <a:ln>
                <a:noFill/>
              </a:ln>
              <a:effectLst/>
            </c:spPr>
            <c:txPr>
              <a:bodyPr/>
              <a:lstStyle/>
              <a:p>
                <a:pPr>
                  <a:defRPr>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Lapas1!$A$2:$A$7</c:f>
              <c:strCache>
                <c:ptCount val="6"/>
                <c:pt idx="0">
                  <c:v>Baigta ATP/AN bylų
</c:v>
                </c:pt>
                <c:pt idx="1">
                  <c:v>Išnagrinėta prašymų dėl proceso atnaujinimo
</c:v>
                </c:pt>
                <c:pt idx="2">
                  <c:v>Išnagrinėta ikiteisminio tyrimo dokumentų
</c:v>
                </c:pt>
                <c:pt idx="3">
                  <c:v>Išnagrinėta teikimų ir prašymų baudžiamųjų bylų vykdymo procese
</c:v>
                </c:pt>
                <c:pt idx="4">
                  <c:v>Išnagrinėta prašymų civilinių bylų vykdymo procese</c:v>
                </c:pt>
                <c:pt idx="5">
                  <c:v>Išnagrinėta prašymų ATP bylų vykdymo procese
</c:v>
                </c:pt>
              </c:strCache>
            </c:strRef>
          </c:cat>
          <c:val>
            <c:numRef>
              <c:f>Lapas1!$B$2:$B$7</c:f>
              <c:numCache>
                <c:formatCode>General</c:formatCode>
                <c:ptCount val="6"/>
                <c:pt idx="0">
                  <c:v>526</c:v>
                </c:pt>
                <c:pt idx="1">
                  <c:v>1</c:v>
                </c:pt>
                <c:pt idx="2">
                  <c:v>184</c:v>
                </c:pt>
                <c:pt idx="3">
                  <c:v>61</c:v>
                </c:pt>
                <c:pt idx="4">
                  <c:v>78</c:v>
                </c:pt>
                <c:pt idx="5">
                  <c:v>43</c:v>
                </c:pt>
              </c:numCache>
            </c:numRef>
          </c:val>
          <c:extLst>
            <c:ext xmlns:c16="http://schemas.microsoft.com/office/drawing/2014/chart" uri="{C3380CC4-5D6E-409C-BE32-E72D297353CC}">
              <c16:uniqueId val="{00000000-0BC4-4C9F-A583-E8D7EE07C560}"/>
            </c:ext>
          </c:extLst>
        </c:ser>
        <c:ser>
          <c:idx val="1"/>
          <c:order val="1"/>
          <c:tx>
            <c:strRef>
              <c:f>Lapas1!$C$1</c:f>
              <c:strCache>
                <c:ptCount val="1"/>
                <c:pt idx="0">
                  <c:v>2017 m.</c:v>
                </c:pt>
              </c:strCache>
            </c:strRef>
          </c:tx>
          <c:invertIfNegative val="0"/>
          <c:dLbls>
            <c:spPr>
              <a:noFill/>
              <a:ln>
                <a:noFill/>
              </a:ln>
              <a:effectLst/>
            </c:spPr>
            <c:txPr>
              <a:bodyPr/>
              <a:lstStyle/>
              <a:p>
                <a:pPr>
                  <a:defRPr>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Lapas1!$A$2:$A$7</c:f>
              <c:strCache>
                <c:ptCount val="6"/>
                <c:pt idx="0">
                  <c:v>Baigta ATP/AN bylų
</c:v>
                </c:pt>
                <c:pt idx="1">
                  <c:v>Išnagrinėta prašymų dėl proceso atnaujinimo
</c:v>
                </c:pt>
                <c:pt idx="2">
                  <c:v>Išnagrinėta ikiteisminio tyrimo dokumentų
</c:v>
                </c:pt>
                <c:pt idx="3">
                  <c:v>Išnagrinėta teikimų ir prašymų baudžiamųjų bylų vykdymo procese
</c:v>
                </c:pt>
                <c:pt idx="4">
                  <c:v>Išnagrinėta prašymų civilinių bylų vykdymo procese</c:v>
                </c:pt>
                <c:pt idx="5">
                  <c:v>Išnagrinėta prašymų ATP bylų vykdymo procese
</c:v>
                </c:pt>
              </c:strCache>
            </c:strRef>
          </c:cat>
          <c:val>
            <c:numRef>
              <c:f>Lapas1!$C$2:$C$7</c:f>
              <c:numCache>
                <c:formatCode>General</c:formatCode>
                <c:ptCount val="6"/>
                <c:pt idx="0">
                  <c:v>234</c:v>
                </c:pt>
                <c:pt idx="1">
                  <c:v>2</c:v>
                </c:pt>
                <c:pt idx="2">
                  <c:v>210</c:v>
                </c:pt>
                <c:pt idx="3">
                  <c:v>48</c:v>
                </c:pt>
                <c:pt idx="4">
                  <c:v>161</c:v>
                </c:pt>
                <c:pt idx="5">
                  <c:v>46</c:v>
                </c:pt>
              </c:numCache>
            </c:numRef>
          </c:val>
          <c:extLst>
            <c:ext xmlns:c16="http://schemas.microsoft.com/office/drawing/2014/chart" uri="{C3380CC4-5D6E-409C-BE32-E72D297353CC}">
              <c16:uniqueId val="{00000001-0BC4-4C9F-A583-E8D7EE07C560}"/>
            </c:ext>
          </c:extLst>
        </c:ser>
        <c:dLbls>
          <c:showLegendKey val="0"/>
          <c:showVal val="0"/>
          <c:showCatName val="0"/>
          <c:showSerName val="0"/>
          <c:showPercent val="0"/>
          <c:showBubbleSize val="0"/>
        </c:dLbls>
        <c:gapWidth val="150"/>
        <c:axId val="32315648"/>
        <c:axId val="32337920"/>
      </c:barChart>
      <c:catAx>
        <c:axId val="32315648"/>
        <c:scaling>
          <c:orientation val="minMax"/>
        </c:scaling>
        <c:delete val="0"/>
        <c:axPos val="b"/>
        <c:numFmt formatCode="General" sourceLinked="0"/>
        <c:majorTickMark val="none"/>
        <c:minorTickMark val="none"/>
        <c:tickLblPos val="nextTo"/>
        <c:txPr>
          <a:bodyPr rot="-5400000" vert="horz" anchor="t" anchorCtr="0"/>
          <a:lstStyle/>
          <a:p>
            <a:pPr>
              <a:defRPr>
                <a:latin typeface="Times New Roman" panose="02020603050405020304" pitchFamily="18" charset="0"/>
                <a:cs typeface="Times New Roman" panose="02020603050405020304" pitchFamily="18" charset="0"/>
              </a:defRPr>
            </a:pPr>
            <a:endParaRPr lang="lt-LT"/>
          </a:p>
        </c:txPr>
        <c:crossAx val="32337920"/>
        <c:crosses val="autoZero"/>
        <c:auto val="0"/>
        <c:lblAlgn val="ctr"/>
        <c:lblOffset val="100"/>
        <c:noMultiLvlLbl val="0"/>
      </c:catAx>
      <c:valAx>
        <c:axId val="32337920"/>
        <c:scaling>
          <c:orientation val="minMax"/>
        </c:scaling>
        <c:delete val="0"/>
        <c:axPos val="l"/>
        <c:majorGridlines/>
        <c:numFmt formatCode="General" sourceLinked="1"/>
        <c:majorTickMark val="none"/>
        <c:minorTickMark val="none"/>
        <c:tickLblPos val="nextTo"/>
        <c:crossAx val="32315648"/>
        <c:crosses val="autoZero"/>
        <c:crossBetween val="between"/>
      </c:valAx>
    </c:plotArea>
    <c:legend>
      <c:legendPos val="r"/>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lt-LT" sz="1800" b="0" i="1" baseline="0">
                <a:effectLst/>
                <a:latin typeface="Times New Roman" panose="02020603050405020304" pitchFamily="18" charset="0"/>
                <a:cs typeface="Times New Roman" panose="02020603050405020304" pitchFamily="18" charset="0"/>
              </a:rPr>
              <a:t>Išnagrinėtų baudžiamųjų bylų skaičiaus pokytis</a:t>
            </a:r>
            <a:endParaRPr lang="lt-LT">
              <a:effectLst/>
              <a:latin typeface="Times New Roman" panose="02020603050405020304" pitchFamily="18" charset="0"/>
              <a:cs typeface="Times New Roman" panose="02020603050405020304" pitchFamily="18" charset="0"/>
            </a:endParaRPr>
          </a:p>
        </c:rich>
      </c:tx>
      <c:layout>
        <c:manualLayout>
          <c:xMode val="edge"/>
          <c:yMode val="edge"/>
          <c:x val="0.18153361038203561"/>
          <c:y val="2.3791401074865642E-2"/>
        </c:manualLayout>
      </c:layout>
      <c:overlay val="0"/>
    </c:title>
    <c:autoTitleDeleted val="0"/>
    <c:plotArea>
      <c:layout/>
      <c:lineChart>
        <c:grouping val="stacked"/>
        <c:varyColors val="0"/>
        <c:ser>
          <c:idx val="0"/>
          <c:order val="0"/>
          <c:tx>
            <c:strRef>
              <c:f>Lapas1!$B$1</c:f>
              <c:strCache>
                <c:ptCount val="1"/>
                <c:pt idx="0">
                  <c:v>Išnagrinėta bylų</c:v>
                </c:pt>
              </c:strCache>
            </c:strRef>
          </c:tx>
          <c:dLbls>
            <c:dLbl>
              <c:idx val="0"/>
              <c:layout>
                <c:manualLayout>
                  <c:x val="2.3148148148148147E-3"/>
                  <c:y val="-1.58851516046973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AB4-4C1E-899B-D843BC35265A}"/>
                </c:ext>
              </c:extLst>
            </c:dLbl>
            <c:dLbl>
              <c:idx val="1"/>
              <c:layout>
                <c:manualLayout>
                  <c:x val="-2.3148148148148147E-3"/>
                  <c:y val="2.38277274070460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AB4-4C1E-899B-D843BC35265A}"/>
                </c:ext>
              </c:extLst>
            </c:dLbl>
            <c:dLbl>
              <c:idx val="4"/>
              <c:layout>
                <c:manualLayout>
                  <c:x val="-2.3148148148148147E-3"/>
                  <c:y val="-1.98564395058716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AB4-4C1E-899B-D843BC35265A}"/>
                </c:ext>
              </c:extLst>
            </c:dLbl>
            <c:spPr>
              <a:noFill/>
              <a:ln>
                <a:noFill/>
              </a:ln>
              <a:effectLst/>
            </c:spPr>
            <c:txPr>
              <a:bodyPr/>
              <a:lstStyle/>
              <a:p>
                <a:pPr>
                  <a:defRPr>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2013 m. </c:v>
                </c:pt>
                <c:pt idx="1">
                  <c:v>2014 m.</c:v>
                </c:pt>
                <c:pt idx="2">
                  <c:v>2015 m.</c:v>
                </c:pt>
                <c:pt idx="3">
                  <c:v>2016 m.</c:v>
                </c:pt>
                <c:pt idx="4">
                  <c:v>2017 m. </c:v>
                </c:pt>
              </c:strCache>
            </c:strRef>
          </c:cat>
          <c:val>
            <c:numRef>
              <c:f>Lapas1!$B$2:$B$6</c:f>
              <c:numCache>
                <c:formatCode>General</c:formatCode>
                <c:ptCount val="5"/>
                <c:pt idx="0">
                  <c:v>151</c:v>
                </c:pt>
                <c:pt idx="1">
                  <c:v>141</c:v>
                </c:pt>
                <c:pt idx="2">
                  <c:v>145</c:v>
                </c:pt>
                <c:pt idx="3">
                  <c:v>106</c:v>
                </c:pt>
                <c:pt idx="4">
                  <c:v>141</c:v>
                </c:pt>
              </c:numCache>
            </c:numRef>
          </c:val>
          <c:smooth val="0"/>
          <c:extLst>
            <c:ext xmlns:c16="http://schemas.microsoft.com/office/drawing/2014/chart" uri="{C3380CC4-5D6E-409C-BE32-E72D297353CC}">
              <c16:uniqueId val="{00000003-DAB4-4C1E-899B-D843BC35265A}"/>
            </c:ext>
          </c:extLst>
        </c:ser>
        <c:dLbls>
          <c:showLegendKey val="0"/>
          <c:showVal val="0"/>
          <c:showCatName val="0"/>
          <c:showSerName val="0"/>
          <c:showPercent val="0"/>
          <c:showBubbleSize val="0"/>
        </c:dLbls>
        <c:marker val="1"/>
        <c:smooth val="0"/>
        <c:axId val="32772480"/>
        <c:axId val="32774016"/>
      </c:lineChart>
      <c:catAx>
        <c:axId val="32772480"/>
        <c:scaling>
          <c:orientation val="minMax"/>
        </c:scaling>
        <c:delete val="0"/>
        <c:axPos val="b"/>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32774016"/>
        <c:crosses val="autoZero"/>
        <c:auto val="1"/>
        <c:lblAlgn val="ctr"/>
        <c:lblOffset val="100"/>
        <c:noMultiLvlLbl val="0"/>
      </c:catAx>
      <c:valAx>
        <c:axId val="32774016"/>
        <c:scaling>
          <c:orientation val="minMax"/>
        </c:scaling>
        <c:delete val="0"/>
        <c:axPos val="l"/>
        <c:majorGridlines/>
        <c:numFmt formatCode="General" sourceLinked="1"/>
        <c:majorTickMark val="none"/>
        <c:minorTickMark val="none"/>
        <c:tickLblPos val="nextTo"/>
        <c:spPr>
          <a:ln w="9525">
            <a:noFill/>
          </a:ln>
        </c:spPr>
        <c:txPr>
          <a:bodyPr/>
          <a:lstStyle/>
          <a:p>
            <a:pPr>
              <a:defRPr>
                <a:latin typeface="Times New Roman" panose="02020603050405020304" pitchFamily="18" charset="0"/>
                <a:cs typeface="Times New Roman" panose="02020603050405020304" pitchFamily="18" charset="0"/>
              </a:defRPr>
            </a:pPr>
            <a:endParaRPr lang="lt-LT"/>
          </a:p>
        </c:txPr>
        <c:crossAx val="32772480"/>
        <c:crosses val="autoZero"/>
        <c:crossBetween val="between"/>
      </c:valAx>
      <c:spPr>
        <a:noFill/>
        <a:ln w="25400">
          <a:noFill/>
        </a:ln>
      </c:spPr>
    </c:plotArea>
    <c:legend>
      <c:legendPos val="b"/>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lt-LT" sz="1800" b="0" i="1" baseline="0">
                <a:effectLst/>
                <a:latin typeface="Times New Roman" panose="02020603050405020304" pitchFamily="18" charset="0"/>
                <a:cs typeface="Times New Roman" panose="02020603050405020304" pitchFamily="18" charset="0"/>
              </a:rPr>
              <a:t>Išnagrinėtų civilinių bylų skaičiaus pokytis</a:t>
            </a:r>
            <a:endParaRPr lang="lt-LT">
              <a:effectLst/>
              <a:latin typeface="Times New Roman" panose="02020603050405020304" pitchFamily="18" charset="0"/>
              <a:cs typeface="Times New Roman" panose="02020603050405020304" pitchFamily="18" charset="0"/>
            </a:endParaRPr>
          </a:p>
        </c:rich>
      </c:tx>
      <c:overlay val="0"/>
    </c:title>
    <c:autoTitleDeleted val="0"/>
    <c:plotArea>
      <c:layout/>
      <c:lineChart>
        <c:grouping val="standard"/>
        <c:varyColors val="0"/>
        <c:ser>
          <c:idx val="0"/>
          <c:order val="0"/>
          <c:tx>
            <c:strRef>
              <c:f>Lapas1!$B$1</c:f>
              <c:strCache>
                <c:ptCount val="1"/>
                <c:pt idx="0">
                  <c:v>Išnagrinėta bylų</c:v>
                </c:pt>
              </c:strCache>
            </c:strRef>
          </c:tx>
          <c:dLbls>
            <c:dLbl>
              <c:idx val="2"/>
              <c:layout>
                <c:manualLayout>
                  <c:x val="-9.2592592592592587E-3"/>
                  <c:y val="-3.97128790117434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756-4847-8DC9-2AFAF6D40621}"/>
                </c:ext>
              </c:extLst>
            </c:dLbl>
            <c:dLbl>
              <c:idx val="3"/>
              <c:layout>
                <c:manualLayout>
                  <c:x val="-2.0833333333333332E-2"/>
                  <c:y val="-2.77990153082204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756-4847-8DC9-2AFAF6D40621}"/>
                </c:ext>
              </c:extLst>
            </c:dLbl>
            <c:dLbl>
              <c:idx val="4"/>
              <c:layout>
                <c:manualLayout>
                  <c:x val="-2.0833333333333332E-2"/>
                  <c:y val="-2.77990153082204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756-4847-8DC9-2AFAF6D40621}"/>
                </c:ext>
              </c:extLst>
            </c:dLbl>
            <c:spPr>
              <a:noFill/>
              <a:ln>
                <a:noFill/>
              </a:ln>
              <a:effectLst/>
            </c:spPr>
            <c:txPr>
              <a:bodyPr/>
              <a:lstStyle/>
              <a:p>
                <a:pPr>
                  <a:defRPr>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2013 m.</c:v>
                </c:pt>
                <c:pt idx="1">
                  <c:v>2014 m.</c:v>
                </c:pt>
                <c:pt idx="2">
                  <c:v>2015 m. </c:v>
                </c:pt>
                <c:pt idx="3">
                  <c:v>2016 m.</c:v>
                </c:pt>
                <c:pt idx="4">
                  <c:v>2017 m.</c:v>
                </c:pt>
              </c:strCache>
            </c:strRef>
          </c:cat>
          <c:val>
            <c:numRef>
              <c:f>Lapas1!$B$2:$B$6</c:f>
              <c:numCache>
                <c:formatCode>General</c:formatCode>
                <c:ptCount val="5"/>
                <c:pt idx="0">
                  <c:v>1048</c:v>
                </c:pt>
                <c:pt idx="1">
                  <c:v>1116</c:v>
                </c:pt>
                <c:pt idx="2">
                  <c:v>1244</c:v>
                </c:pt>
                <c:pt idx="3">
                  <c:v>1246</c:v>
                </c:pt>
                <c:pt idx="4">
                  <c:v>1150</c:v>
                </c:pt>
              </c:numCache>
            </c:numRef>
          </c:val>
          <c:smooth val="0"/>
          <c:extLst>
            <c:ext xmlns:c16="http://schemas.microsoft.com/office/drawing/2014/chart" uri="{C3380CC4-5D6E-409C-BE32-E72D297353CC}">
              <c16:uniqueId val="{00000003-E756-4847-8DC9-2AFAF6D40621}"/>
            </c:ext>
          </c:extLst>
        </c:ser>
        <c:dLbls>
          <c:showLegendKey val="0"/>
          <c:showVal val="0"/>
          <c:showCatName val="0"/>
          <c:showSerName val="0"/>
          <c:showPercent val="0"/>
          <c:showBubbleSize val="0"/>
        </c:dLbls>
        <c:marker val="1"/>
        <c:smooth val="0"/>
        <c:axId val="32553216"/>
        <c:axId val="32825344"/>
      </c:lineChart>
      <c:catAx>
        <c:axId val="32553216"/>
        <c:scaling>
          <c:orientation val="minMax"/>
        </c:scaling>
        <c:delete val="0"/>
        <c:axPos val="b"/>
        <c:numFmt formatCode="General" sourceLinked="0"/>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32825344"/>
        <c:crosses val="autoZero"/>
        <c:auto val="1"/>
        <c:lblAlgn val="ctr"/>
        <c:lblOffset val="100"/>
        <c:noMultiLvlLbl val="0"/>
      </c:catAx>
      <c:valAx>
        <c:axId val="32825344"/>
        <c:scaling>
          <c:orientation val="minMax"/>
        </c:scaling>
        <c:delete val="0"/>
        <c:axPos val="l"/>
        <c:majorGridlines/>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32553216"/>
        <c:crosses val="autoZero"/>
        <c:crossBetween val="between"/>
      </c:valAx>
    </c:plotArea>
    <c:legend>
      <c:legendPos val="b"/>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zero"/>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nchor="t" anchorCtr="1"/>
          <a:lstStyle/>
          <a:p>
            <a:pPr>
              <a:defRPr>
                <a:latin typeface="Times New Roman" panose="02020603050405020304" pitchFamily="18" charset="0"/>
                <a:cs typeface="Times New Roman" panose="02020603050405020304" pitchFamily="18" charset="0"/>
              </a:defRPr>
            </a:pPr>
            <a:r>
              <a:rPr lang="lt-LT" sz="1800" b="0" i="1" baseline="0">
                <a:effectLst/>
                <a:latin typeface="Times New Roman" panose="02020603050405020304" pitchFamily="18" charset="0"/>
                <a:cs typeface="Times New Roman" panose="02020603050405020304" pitchFamily="18" charset="0"/>
              </a:rPr>
              <a:t>Išnagrinėtų administracinių teisės pažeidimų /nusižengimų bylų skaičiaus kitimas</a:t>
            </a:r>
          </a:p>
          <a:p>
            <a:pPr>
              <a:defRPr>
                <a:latin typeface="Times New Roman" panose="02020603050405020304" pitchFamily="18" charset="0"/>
                <a:cs typeface="Times New Roman" panose="02020603050405020304" pitchFamily="18" charset="0"/>
              </a:defRPr>
            </a:pPr>
            <a:endParaRPr lang="lt-LT">
              <a:effectLst/>
              <a:latin typeface="Times New Roman" panose="02020603050405020304" pitchFamily="18" charset="0"/>
              <a:cs typeface="Times New Roman" panose="02020603050405020304" pitchFamily="18" charset="0"/>
            </a:endParaRPr>
          </a:p>
        </c:rich>
      </c:tx>
      <c:overlay val="0"/>
    </c:title>
    <c:autoTitleDeleted val="0"/>
    <c:plotArea>
      <c:layout/>
      <c:lineChart>
        <c:grouping val="standard"/>
        <c:varyColors val="0"/>
        <c:ser>
          <c:idx val="0"/>
          <c:order val="0"/>
          <c:tx>
            <c:strRef>
              <c:f>Lapas1!$B$1</c:f>
              <c:strCache>
                <c:ptCount val="1"/>
                <c:pt idx="0">
                  <c:v>Išnagrinėta bylų</c:v>
                </c:pt>
              </c:strCache>
            </c:strRef>
          </c:tx>
          <c:dLbls>
            <c:dLbl>
              <c:idx val="0"/>
              <c:layout>
                <c:manualLayout>
                  <c:x val="-2.0833333333333332E-2"/>
                  <c:y val="-3.97128790117434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E84-44E1-90D1-3F379EF40F50}"/>
                </c:ext>
              </c:extLst>
            </c:dLbl>
            <c:dLbl>
              <c:idx val="1"/>
              <c:layout>
                <c:manualLayout>
                  <c:x val="0"/>
                  <c:y val="1.58851516046973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E84-44E1-90D1-3F379EF40F50}"/>
                </c:ext>
              </c:extLst>
            </c:dLbl>
            <c:dLbl>
              <c:idx val="2"/>
              <c:layout>
                <c:manualLayout>
                  <c:x val="-3.9351851851851853E-2"/>
                  <c:y val="-5.16267427152664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E84-44E1-90D1-3F379EF40F50}"/>
                </c:ext>
              </c:extLst>
            </c:dLbl>
            <c:spPr>
              <a:noFill/>
              <a:ln>
                <a:noFill/>
              </a:ln>
              <a:effectLst/>
            </c:spPr>
            <c:txPr>
              <a:bodyPr/>
              <a:lstStyle/>
              <a:p>
                <a:pPr>
                  <a:defRPr>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2013 m.</c:v>
                </c:pt>
                <c:pt idx="1">
                  <c:v>2014 m.</c:v>
                </c:pt>
                <c:pt idx="2">
                  <c:v>2015 m.</c:v>
                </c:pt>
                <c:pt idx="3">
                  <c:v>2016 m.</c:v>
                </c:pt>
                <c:pt idx="4">
                  <c:v>2017 m.</c:v>
                </c:pt>
              </c:strCache>
            </c:strRef>
          </c:cat>
          <c:val>
            <c:numRef>
              <c:f>Lapas1!$B$2:$B$6</c:f>
              <c:numCache>
                <c:formatCode>General</c:formatCode>
                <c:ptCount val="5"/>
                <c:pt idx="0">
                  <c:v>406</c:v>
                </c:pt>
                <c:pt idx="1">
                  <c:v>469</c:v>
                </c:pt>
                <c:pt idx="2">
                  <c:v>558</c:v>
                </c:pt>
                <c:pt idx="3">
                  <c:v>526</c:v>
                </c:pt>
                <c:pt idx="4">
                  <c:v>234</c:v>
                </c:pt>
              </c:numCache>
            </c:numRef>
          </c:val>
          <c:smooth val="0"/>
          <c:extLst>
            <c:ext xmlns:c16="http://schemas.microsoft.com/office/drawing/2014/chart" uri="{C3380CC4-5D6E-409C-BE32-E72D297353CC}">
              <c16:uniqueId val="{00000003-1E84-44E1-90D1-3F379EF40F50}"/>
            </c:ext>
          </c:extLst>
        </c:ser>
        <c:dLbls>
          <c:showLegendKey val="0"/>
          <c:showVal val="0"/>
          <c:showCatName val="0"/>
          <c:showSerName val="0"/>
          <c:showPercent val="0"/>
          <c:showBubbleSize val="0"/>
        </c:dLbls>
        <c:marker val="1"/>
        <c:smooth val="0"/>
        <c:axId val="32727424"/>
        <c:axId val="32728960"/>
      </c:lineChart>
      <c:catAx>
        <c:axId val="32727424"/>
        <c:scaling>
          <c:orientation val="minMax"/>
        </c:scaling>
        <c:delete val="0"/>
        <c:axPos val="b"/>
        <c:numFmt formatCode="General" sourceLinked="0"/>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32728960"/>
        <c:crosses val="autoZero"/>
        <c:auto val="1"/>
        <c:lblAlgn val="ctr"/>
        <c:lblOffset val="100"/>
        <c:noMultiLvlLbl val="0"/>
      </c:catAx>
      <c:valAx>
        <c:axId val="32728960"/>
        <c:scaling>
          <c:orientation val="minMax"/>
        </c:scaling>
        <c:delete val="0"/>
        <c:axPos val="l"/>
        <c:majorGridlines/>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32727424"/>
        <c:crosses val="autoZero"/>
        <c:crossBetween val="between"/>
      </c:valAx>
    </c:plotArea>
    <c:legend>
      <c:legendPos val="b"/>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lt-LT" sz="1800" b="0" i="1">
                <a:latin typeface="Times New Roman" panose="02020603050405020304" pitchFamily="18" charset="0"/>
                <a:cs typeface="Times New Roman" panose="02020603050405020304" pitchFamily="18" charset="0"/>
              </a:rPr>
              <a:t>Teisme</a:t>
            </a:r>
            <a:r>
              <a:rPr lang="lt-LT" sz="1800" b="0" i="1" baseline="0">
                <a:latin typeface="Times New Roman" panose="02020603050405020304" pitchFamily="18" charset="0"/>
                <a:cs typeface="Times New Roman" panose="02020603050405020304" pitchFamily="18" charset="0"/>
              </a:rPr>
              <a:t> dirbančių asmenų (be teisėjų) išsilavinimas</a:t>
            </a:r>
            <a:endParaRPr lang="en-US" sz="1800" b="0" i="1">
              <a:latin typeface="Times New Roman" panose="02020603050405020304" pitchFamily="18" charset="0"/>
              <a:cs typeface="Times New Roman" panose="02020603050405020304" pitchFamily="18" charset="0"/>
            </a:endParaRP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Lapas1!$B$2</c:f>
              <c:strCache>
                <c:ptCount val="1"/>
                <c:pt idx="0">
                  <c:v>6</c:v>
                </c:pt>
              </c:strCache>
            </c:strRef>
          </c:tx>
          <c:dLbls>
            <c:spPr>
              <a:noFill/>
              <a:ln>
                <a:noFill/>
              </a:ln>
              <a:effectLst/>
            </c:spPr>
            <c:txPr>
              <a:bodyPr/>
              <a:lstStyle/>
              <a:p>
                <a:pPr>
                  <a:defRPr>
                    <a:latin typeface="Times New Roman" panose="02020603050405020304" pitchFamily="18" charset="0"/>
                    <a:cs typeface="Times New Roman" panose="02020603050405020304" pitchFamily="18" charset="0"/>
                  </a:defRPr>
                </a:pPr>
                <a:endParaRPr lang="lt-LT"/>
              </a:p>
            </c:txPr>
            <c:showLegendKey val="0"/>
            <c:showVal val="1"/>
            <c:showCatName val="0"/>
            <c:showSerName val="0"/>
            <c:showPercent val="1"/>
            <c:showBubbleSize val="0"/>
            <c:showLeaderLines val="1"/>
            <c:extLst>
              <c:ext xmlns:c15="http://schemas.microsoft.com/office/drawing/2012/chart" uri="{CE6537A1-D6FC-4f65-9D91-7224C49458BB}"/>
            </c:extLst>
          </c:dLbls>
          <c:cat>
            <c:strRef>
              <c:f>Lapas1!$A$2:$A$4</c:f>
              <c:strCache>
                <c:ptCount val="3"/>
                <c:pt idx="0">
                  <c:v>Darbuotojai turintys aukštąjį universitetinį išsilavinimą</c:v>
                </c:pt>
                <c:pt idx="1">
                  <c:v>Darbuotojai turintys aukštąjį neuniversitetinį arba aukštesnįjį išsilavinimą</c:v>
                </c:pt>
                <c:pt idx="2">
                  <c:v>Darbuotojai turintys specialųjį vidurinį (iki 1995 m.) arba vidurinį išsilavinimą</c:v>
                </c:pt>
              </c:strCache>
            </c:strRef>
          </c:cat>
          <c:val>
            <c:numRef>
              <c:f>Lapas1!$B$2:$B$4</c:f>
              <c:numCache>
                <c:formatCode>General</c:formatCode>
                <c:ptCount val="3"/>
                <c:pt idx="0">
                  <c:v>6</c:v>
                </c:pt>
                <c:pt idx="1">
                  <c:v>6</c:v>
                </c:pt>
                <c:pt idx="2">
                  <c:v>2</c:v>
                </c:pt>
              </c:numCache>
            </c:numRef>
          </c:val>
          <c:extLst>
            <c:ext xmlns:c16="http://schemas.microsoft.com/office/drawing/2014/chart" uri="{C3380CC4-5D6E-409C-BE32-E72D297353CC}">
              <c16:uniqueId val="{00000000-3EF8-42F1-B26F-2EAC7545B8EA}"/>
            </c:ext>
          </c:extLst>
        </c:ser>
        <c:dLbls>
          <c:showLegendKey val="0"/>
          <c:showVal val="0"/>
          <c:showCatName val="0"/>
          <c:showSerName val="0"/>
          <c:showPercent val="0"/>
          <c:showBubbleSize val="0"/>
          <c:showLeaderLines val="1"/>
        </c:dLbls>
      </c:pie3DChart>
    </c:plotArea>
    <c:legend>
      <c:legendPos val="r"/>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4"/>
      <c:hPercent val="71"/>
      <c:rotY val="44"/>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000000"/>
          </a:solidFill>
          <a:prstDash val="solid"/>
        </a:ln>
      </c:spPr>
    </c:sideWall>
    <c:backWall>
      <c:thickness val="0"/>
      <c:spPr>
        <a:solidFill>
          <a:srgbClr val="C0C0C0"/>
        </a:solidFill>
        <a:ln w="12700">
          <a:solidFill>
            <a:srgbClr val="000000"/>
          </a:solidFill>
          <a:prstDash val="solid"/>
        </a:ln>
      </c:spPr>
    </c:backWall>
    <c:plotArea>
      <c:layout>
        <c:manualLayout>
          <c:layoutTarget val="inner"/>
          <c:xMode val="edge"/>
          <c:yMode val="edge"/>
          <c:x val="5.8201058201058198E-2"/>
          <c:y val="3.3426183844011144E-2"/>
          <c:w val="0.58201058201058198"/>
          <c:h val="0.81894150417827294"/>
        </c:manualLayout>
      </c:layout>
      <c:bar3DChart>
        <c:barDir val="col"/>
        <c:grouping val="clustered"/>
        <c:varyColors val="0"/>
        <c:ser>
          <c:idx val="0"/>
          <c:order val="0"/>
          <c:tx>
            <c:strRef>
              <c:f>Sheet1!$A$3</c:f>
              <c:strCache>
                <c:ptCount val="1"/>
                <c:pt idx="0">
                  <c:v>Planuota mokymų trukmė vienam dirbančiajam (akademinės valandos)</c:v>
                </c:pt>
              </c:strCache>
            </c:strRef>
          </c:tx>
          <c:spPr>
            <a:solidFill>
              <a:srgbClr val="0066CC"/>
            </a:solidFill>
            <a:ln w="12633">
              <a:solidFill>
                <a:srgbClr val="3366FF"/>
              </a:solidFill>
              <a:prstDash val="solid"/>
            </a:ln>
          </c:spPr>
          <c:invertIfNegative val="0"/>
          <c:cat>
            <c:strRef>
              <c:f>Sheet1!$B$2:$C$2</c:f>
              <c:strCache>
                <c:ptCount val="2"/>
                <c:pt idx="0">
                  <c:v>Teismo personalas</c:v>
                </c:pt>
                <c:pt idx="1">
                  <c:v> Teisėjai </c:v>
                </c:pt>
              </c:strCache>
            </c:strRef>
          </c:cat>
          <c:val>
            <c:numRef>
              <c:f>Sheet1!$B$3:$C$3</c:f>
              <c:numCache>
                <c:formatCode>General</c:formatCode>
                <c:ptCount val="2"/>
                <c:pt idx="0">
                  <c:v>8</c:v>
                </c:pt>
                <c:pt idx="1">
                  <c:v>16</c:v>
                </c:pt>
              </c:numCache>
            </c:numRef>
          </c:val>
          <c:extLst>
            <c:ext xmlns:c16="http://schemas.microsoft.com/office/drawing/2014/chart" uri="{C3380CC4-5D6E-409C-BE32-E72D297353CC}">
              <c16:uniqueId val="{00000000-E054-4CD1-8335-3020BFC5006B}"/>
            </c:ext>
          </c:extLst>
        </c:ser>
        <c:ser>
          <c:idx val="1"/>
          <c:order val="1"/>
          <c:tx>
            <c:strRef>
              <c:f>Sheet1!$A$4</c:f>
              <c:strCache>
                <c:ptCount val="1"/>
                <c:pt idx="0">
                  <c:v>Įgyvendinta mokymų trukmė vienam dirbančiajam (akademinės valandos) </c:v>
                </c:pt>
              </c:strCache>
            </c:strRef>
          </c:tx>
          <c:spPr>
            <a:solidFill>
              <a:srgbClr val="993300"/>
            </a:solidFill>
            <a:ln w="12633">
              <a:solidFill>
                <a:srgbClr val="993366"/>
              </a:solidFill>
              <a:prstDash val="solid"/>
            </a:ln>
          </c:spPr>
          <c:invertIfNegative val="0"/>
          <c:cat>
            <c:strRef>
              <c:f>Sheet1!$B$2:$C$2</c:f>
              <c:strCache>
                <c:ptCount val="2"/>
                <c:pt idx="0">
                  <c:v>Teismo personalas</c:v>
                </c:pt>
                <c:pt idx="1">
                  <c:v> Teisėjai </c:v>
                </c:pt>
              </c:strCache>
            </c:strRef>
          </c:cat>
          <c:val>
            <c:numRef>
              <c:f>Sheet1!$B$4:$C$4</c:f>
              <c:numCache>
                <c:formatCode>General</c:formatCode>
                <c:ptCount val="2"/>
                <c:pt idx="0">
                  <c:v>4.8</c:v>
                </c:pt>
                <c:pt idx="1">
                  <c:v>57</c:v>
                </c:pt>
              </c:numCache>
            </c:numRef>
          </c:val>
          <c:extLst>
            <c:ext xmlns:c16="http://schemas.microsoft.com/office/drawing/2014/chart" uri="{C3380CC4-5D6E-409C-BE32-E72D297353CC}">
              <c16:uniqueId val="{00000001-E054-4CD1-8335-3020BFC5006B}"/>
            </c:ext>
          </c:extLst>
        </c:ser>
        <c:dLbls>
          <c:showLegendKey val="0"/>
          <c:showVal val="0"/>
          <c:showCatName val="0"/>
          <c:showSerName val="0"/>
          <c:showPercent val="0"/>
          <c:showBubbleSize val="0"/>
        </c:dLbls>
        <c:gapWidth val="150"/>
        <c:gapDepth val="0"/>
        <c:shape val="box"/>
        <c:axId val="33155328"/>
        <c:axId val="33157120"/>
        <c:axId val="0"/>
      </c:bar3DChart>
      <c:catAx>
        <c:axId val="33155328"/>
        <c:scaling>
          <c:orientation val="minMax"/>
        </c:scaling>
        <c:delete val="0"/>
        <c:axPos val="b"/>
        <c:numFmt formatCode="General" sourceLinked="1"/>
        <c:majorTickMark val="out"/>
        <c:minorTickMark val="none"/>
        <c:tickLblPos val="low"/>
        <c:spPr>
          <a:ln w="3158">
            <a:solidFill>
              <a:srgbClr val="000000"/>
            </a:solidFill>
            <a:prstDash val="solid"/>
          </a:ln>
        </c:spPr>
        <c:txPr>
          <a:bodyPr rot="0" vert="horz"/>
          <a:lstStyle/>
          <a:p>
            <a:pPr>
              <a:defRPr sz="995" b="0" i="0" u="none" strike="noStrike" baseline="0">
                <a:solidFill>
                  <a:srgbClr val="000000"/>
                </a:solidFill>
                <a:latin typeface="Times New Roman"/>
                <a:ea typeface="Times New Roman"/>
                <a:cs typeface="Times New Roman"/>
              </a:defRPr>
            </a:pPr>
            <a:endParaRPr lang="lt-LT"/>
          </a:p>
        </c:txPr>
        <c:crossAx val="33157120"/>
        <c:crosses val="autoZero"/>
        <c:auto val="1"/>
        <c:lblAlgn val="ctr"/>
        <c:lblOffset val="100"/>
        <c:tickLblSkip val="1"/>
        <c:tickMarkSkip val="1"/>
        <c:noMultiLvlLbl val="0"/>
      </c:catAx>
      <c:valAx>
        <c:axId val="33157120"/>
        <c:scaling>
          <c:orientation val="minMax"/>
        </c:scaling>
        <c:delete val="0"/>
        <c:axPos val="l"/>
        <c:majorGridlines>
          <c:spPr>
            <a:ln w="3158">
              <a:solidFill>
                <a:srgbClr val="000000"/>
              </a:solidFill>
              <a:prstDash val="solid"/>
            </a:ln>
          </c:spPr>
        </c:majorGridlines>
        <c:numFmt formatCode="General" sourceLinked="1"/>
        <c:majorTickMark val="out"/>
        <c:minorTickMark val="none"/>
        <c:tickLblPos val="nextTo"/>
        <c:spPr>
          <a:ln w="3158">
            <a:solidFill>
              <a:srgbClr val="000000"/>
            </a:solidFill>
            <a:prstDash val="solid"/>
          </a:ln>
        </c:spPr>
        <c:txPr>
          <a:bodyPr rot="0" vert="horz"/>
          <a:lstStyle/>
          <a:p>
            <a:pPr>
              <a:defRPr sz="1044" b="1" i="0" u="none" strike="noStrike" baseline="0">
                <a:solidFill>
                  <a:srgbClr val="000000"/>
                </a:solidFill>
                <a:latin typeface="Calibri"/>
                <a:ea typeface="Calibri"/>
                <a:cs typeface="Calibri"/>
              </a:defRPr>
            </a:pPr>
            <a:endParaRPr lang="lt-LT"/>
          </a:p>
        </c:txPr>
        <c:crossAx val="33155328"/>
        <c:crosses val="autoZero"/>
        <c:crossBetween val="between"/>
      </c:valAx>
      <c:spPr>
        <a:noFill/>
        <a:ln w="25265">
          <a:noFill/>
        </a:ln>
      </c:spPr>
    </c:plotArea>
    <c:legend>
      <c:legendPos val="r"/>
      <c:layout>
        <c:manualLayout>
          <c:xMode val="edge"/>
          <c:yMode val="edge"/>
          <c:x val="0.66137566137566139"/>
          <c:y val="0.19220055710306408"/>
          <c:w val="0.33333333333333331"/>
          <c:h val="0.6155988857938719"/>
        </c:manualLayout>
      </c:layout>
      <c:overlay val="0"/>
      <c:spPr>
        <a:noFill/>
        <a:ln w="3158">
          <a:solidFill>
            <a:srgbClr val="000000"/>
          </a:solidFill>
          <a:prstDash val="solid"/>
        </a:ln>
      </c:spPr>
      <c:txPr>
        <a:bodyPr/>
        <a:lstStyle/>
        <a:p>
          <a:pPr>
            <a:defRPr sz="1005" b="0" i="0" u="none" strike="noStrike" baseline="0">
              <a:solidFill>
                <a:srgbClr val="000000"/>
              </a:solidFill>
              <a:latin typeface="Times New Roman"/>
              <a:ea typeface="Times New Roman"/>
              <a:cs typeface="Times New Roman"/>
            </a:defRPr>
          </a:pPr>
          <a:endParaRPr lang="lt-LT"/>
        </a:p>
      </c:txPr>
    </c:legend>
    <c:plotVisOnly val="1"/>
    <c:dispBlanksAs val="gap"/>
    <c:showDLblsOverMax val="0"/>
  </c:chart>
  <c:spPr>
    <a:noFill/>
    <a:ln>
      <a:noFill/>
    </a:ln>
  </c:spPr>
  <c:txPr>
    <a:bodyPr/>
    <a:lstStyle/>
    <a:p>
      <a:pPr>
        <a:defRPr sz="1044" b="1" i="0" u="none" strike="noStrike" baseline="0">
          <a:solidFill>
            <a:srgbClr val="000000"/>
          </a:solidFill>
          <a:latin typeface="Calibri"/>
          <a:ea typeface="Calibri"/>
          <a:cs typeface="Calibri"/>
        </a:defRPr>
      </a:pPr>
      <a:endParaRPr lang="lt-LT"/>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150"/>
      <c:depthPercent val="100"/>
      <c:rAngAx val="0"/>
    </c:view3D>
    <c:floor>
      <c:thickness val="0"/>
    </c:floor>
    <c:sideWall>
      <c:thickness val="0"/>
    </c:sideWall>
    <c:backWall>
      <c:thickness val="0"/>
    </c:backWall>
    <c:plotArea>
      <c:layout>
        <c:manualLayout>
          <c:layoutTarget val="inner"/>
          <c:xMode val="edge"/>
          <c:yMode val="edge"/>
          <c:x val="0.17200133691153774"/>
          <c:y val="0.18848293963254592"/>
          <c:w val="0.6021036696255665"/>
          <c:h val="0.58161349831271103"/>
        </c:manualLayout>
      </c:layout>
      <c:pie3DChart>
        <c:varyColors val="1"/>
        <c:ser>
          <c:idx val="0"/>
          <c:order val="0"/>
          <c:spPr>
            <a:effectLst>
              <a:innerShdw blurRad="63500" dist="50800" dir="13500000">
                <a:prstClr val="black">
                  <a:alpha val="50000"/>
                </a:prstClr>
              </a:innerShdw>
            </a:effectLst>
            <a:scene3d>
              <a:camera prst="orthographicFront"/>
              <a:lightRig rig="threePt" dir="t"/>
            </a:scene3d>
            <a:sp3d>
              <a:bevelT/>
              <a:bevelB prst="relaxedInset"/>
            </a:sp3d>
          </c:spPr>
          <c:explosion val="6"/>
          <c:dPt>
            <c:idx val="0"/>
            <c:bubble3D val="0"/>
            <c:spPr>
              <a:ln>
                <a:noFill/>
              </a:ln>
              <a:effectLst>
                <a:innerShdw blurRad="63500" dist="50800" dir="13500000">
                  <a:prstClr val="black">
                    <a:alpha val="50000"/>
                  </a:prstClr>
                </a:innerShdw>
              </a:effectLst>
              <a:scene3d>
                <a:camera prst="orthographicFront"/>
                <a:lightRig rig="threePt" dir="t"/>
              </a:scene3d>
              <a:sp3d>
                <a:bevelT/>
                <a:bevelB prst="relaxedInset"/>
              </a:sp3d>
            </c:spPr>
            <c:extLst>
              <c:ext xmlns:c16="http://schemas.microsoft.com/office/drawing/2014/chart" uri="{C3380CC4-5D6E-409C-BE32-E72D297353CC}">
                <c16:uniqueId val="{00000001-49DC-45B4-B693-185CE3374772}"/>
              </c:ext>
            </c:extLst>
          </c:dPt>
          <c:dLbls>
            <c:dLbl>
              <c:idx val="0"/>
              <c:layout>
                <c:manualLayout>
                  <c:x val="3.7453183520599259E-2"/>
                  <c:y val="-5.3333333333333337E-2"/>
                </c:manualLayout>
              </c:layout>
              <c:tx>
                <c:rich>
                  <a:bodyPr/>
                  <a:lstStyle/>
                  <a:p>
                    <a:r>
                      <a:rPr lang="en-US"/>
                      <a:t>Darbo užmokestis; 190838,0 Eur</a:t>
                    </a:r>
                  </a:p>
                  <a:p>
                    <a:endParaRPr lang="en-US"/>
                  </a:p>
                </c:rich>
              </c:tx>
              <c:dLblPos val="bestFit"/>
              <c:showLegendKey val="0"/>
              <c:showVal val="1"/>
              <c:showCatName val="1"/>
              <c:showSerName val="0"/>
              <c:showPercent val="0"/>
              <c:showBubbleSize val="0"/>
              <c:extLst>
                <c:ext xmlns:c15="http://schemas.microsoft.com/office/drawing/2012/chart" uri="{CE6537A1-D6FC-4f65-9D91-7224C49458BB}">
                  <c15:layout>
                    <c:manualLayout>
                      <c:w val="0.15590511860174783"/>
                      <c:h val="0.18666666666666668"/>
                    </c:manualLayout>
                  </c15:layout>
                </c:ext>
                <c:ext xmlns:c16="http://schemas.microsoft.com/office/drawing/2014/chart" uri="{C3380CC4-5D6E-409C-BE32-E72D297353CC}">
                  <c16:uniqueId val="{00000001-49DC-45B4-B693-185CE3374772}"/>
                </c:ext>
              </c:extLst>
            </c:dLbl>
            <c:dLbl>
              <c:idx val="1"/>
              <c:tx>
                <c:rich>
                  <a:bodyPr/>
                  <a:lstStyle/>
                  <a:p>
                    <a:r>
                      <a:rPr lang="en-US"/>
                      <a:t>Socialinio draudimo įmokos; 58857,0</a:t>
                    </a:r>
                    <a:r>
                      <a:rPr lang="en-US" baseline="0"/>
                      <a:t> Eur</a:t>
                    </a:r>
                    <a:endParaRPr lang="en-US"/>
                  </a:p>
                </c:rich>
              </c:tx>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9DC-45B4-B693-185CE3374772}"/>
                </c:ext>
              </c:extLst>
            </c:dLbl>
            <c:dLbl>
              <c:idx val="2"/>
              <c:tx>
                <c:rich>
                  <a:bodyPr/>
                  <a:lstStyle/>
                  <a:p>
                    <a:r>
                      <a:rPr lang="lt-LT"/>
                      <a:t>Išlaidos prekėms ir paslaugoms; 22400,0 Eur</a:t>
                    </a:r>
                  </a:p>
                </c:rich>
              </c:tx>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9DC-45B4-B693-185CE3374772}"/>
                </c:ext>
              </c:extLst>
            </c:dLbl>
            <c:spPr>
              <a:scene3d>
                <a:camera prst="orthographicFront"/>
                <a:lightRig rig="threePt" dir="t"/>
              </a:scene3d>
              <a:sp3d>
                <a:bevelB prst="slope"/>
              </a:sp3d>
            </c:spPr>
            <c:txPr>
              <a:bodyPr/>
              <a:lstStyle/>
              <a:p>
                <a:pPr>
                  <a:defRPr>
                    <a:latin typeface="Times New Roman" pitchFamily="18" charset="0"/>
                    <a:cs typeface="Times New Roman" pitchFamily="18" charset="0"/>
                  </a:defRPr>
                </a:pPr>
                <a:endParaRPr lang="lt-LT"/>
              </a:p>
            </c:txPr>
            <c:dLblPos val="outEnd"/>
            <c:showLegendKey val="0"/>
            <c:showVal val="1"/>
            <c:showCatName val="1"/>
            <c:showSerName val="0"/>
            <c:showPercent val="0"/>
            <c:showBubbleSize val="0"/>
            <c:showLeaderLines val="1"/>
            <c:extLst>
              <c:ext xmlns:c15="http://schemas.microsoft.com/office/drawing/2012/chart" uri="{CE6537A1-D6FC-4f65-9D91-7224C49458BB}"/>
            </c:extLst>
          </c:dLbls>
          <c:cat>
            <c:strRef>
              <c:f>[Book1.xlsx]Sheet1!$B$4:$B$7</c:f>
              <c:strCache>
                <c:ptCount val="3"/>
                <c:pt idx="0">
                  <c:v>Darbo užmokestis</c:v>
                </c:pt>
                <c:pt idx="1">
                  <c:v>Socialinio draudimo įmokos</c:v>
                </c:pt>
                <c:pt idx="2">
                  <c:v>Išlaidos prekėme ir paslaugoms</c:v>
                </c:pt>
              </c:strCache>
              <c:extLst/>
            </c:strRef>
          </c:cat>
          <c:val>
            <c:numRef>
              <c:f>[Book1.xlsx]Sheet1!$C$4:$C$7</c:f>
              <c:numCache>
                <c:formatCode>General</c:formatCode>
                <c:ptCount val="3"/>
                <c:pt idx="0">
                  <c:v>258880</c:v>
                </c:pt>
                <c:pt idx="1">
                  <c:v>79022</c:v>
                </c:pt>
                <c:pt idx="2">
                  <c:v>42868</c:v>
                </c:pt>
              </c:numCache>
              <c:extLst/>
            </c:numRef>
          </c:val>
          <c:extLst>
            <c:ext xmlns:c16="http://schemas.microsoft.com/office/drawing/2014/chart" uri="{C3380CC4-5D6E-409C-BE32-E72D297353CC}">
              <c16:uniqueId val="{00000004-49DC-45B4-B693-185CE3374772}"/>
            </c:ext>
          </c:extLst>
        </c:ser>
        <c:dLbls>
          <c:showLegendKey val="0"/>
          <c:showVal val="1"/>
          <c:showCatName val="1"/>
          <c:showSerName val="0"/>
          <c:showPercent val="0"/>
          <c:showBubbleSize val="0"/>
          <c:showLeaderLines val="1"/>
        </c:dLbls>
      </c:pie3DChart>
      <c:spPr>
        <a:effectLst>
          <a:innerShdw blurRad="63500" dist="50800" dir="13500000">
            <a:srgbClr val="1F497D">
              <a:lumMod val="40000"/>
              <a:lumOff val="60000"/>
              <a:alpha val="0"/>
            </a:srgbClr>
          </a:innerShdw>
        </a:effectLst>
      </c:spPr>
    </c:plotArea>
    <c:plotVisOnly val="1"/>
    <c:dispBlanksAs val="gap"/>
    <c:showDLblsOverMax val="0"/>
  </c:chart>
  <c:spPr>
    <a:ln>
      <a:noFill/>
    </a:ln>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350"/>
      <c:rAngAx val="0"/>
    </c:view3D>
    <c:floor>
      <c:thickness val="0"/>
    </c:floor>
    <c:sideWall>
      <c:thickness val="0"/>
    </c:sideWall>
    <c:backWall>
      <c:thickness val="0"/>
    </c:backWall>
    <c:plotArea>
      <c:layout>
        <c:manualLayout>
          <c:layoutTarget val="inner"/>
          <c:xMode val="edge"/>
          <c:yMode val="edge"/>
          <c:x val="0.14202165640272346"/>
          <c:y val="0.16981356100264672"/>
          <c:w val="0.5861199026818058"/>
          <c:h val="0.56686048728894356"/>
        </c:manualLayout>
      </c:layout>
      <c:pie3DChart>
        <c:varyColors val="1"/>
        <c:ser>
          <c:idx val="0"/>
          <c:order val="0"/>
          <c:explosion val="25"/>
          <c:dLbls>
            <c:dLbl>
              <c:idx val="0"/>
              <c:layout>
                <c:manualLayout>
                  <c:x val="-0.15885767018048091"/>
                  <c:y val="-7.2245728331362349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D1D-410D-A96A-BC42FE228A23}"/>
                </c:ext>
              </c:extLst>
            </c:dLbl>
            <c:dLbl>
              <c:idx val="3"/>
              <c:layout>
                <c:manualLayout>
                  <c:x val="-2.4357993386419918E-2"/>
                  <c:y val="7.738154021942482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D1D-410D-A96A-BC42FE228A23}"/>
                </c:ext>
              </c:extLst>
            </c:dLbl>
            <c:dLbl>
              <c:idx val="7"/>
              <c:layout>
                <c:manualLayout>
                  <c:x val="3.4044888189819066E-2"/>
                  <c:y val="-0.243839864206639"/>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D1D-410D-A96A-BC42FE228A23}"/>
                </c:ext>
              </c:extLst>
            </c:dLbl>
            <c:spPr>
              <a:noFill/>
              <a:ln>
                <a:noFill/>
              </a:ln>
              <a:effectLst/>
            </c:spPr>
            <c:txPr>
              <a:bodyPr wrap="square" lIns="38100" tIns="19050" rIns="38100" bIns="19050" anchor="ctr">
                <a:spAutoFit/>
              </a:bodyPr>
              <a:lstStyle/>
              <a:p>
                <a:pPr>
                  <a:defRPr baseline="0">
                    <a:latin typeface="Times New Roman" panose="02020603050405020304" pitchFamily="18" charset="0"/>
                  </a:defRPr>
                </a:pPr>
                <a:endParaRPr lang="lt-LT"/>
              </a:p>
            </c:txPr>
            <c:showLegendKey val="0"/>
            <c:showVal val="1"/>
            <c:showCatName val="1"/>
            <c:showSerName val="0"/>
            <c:showPercent val="0"/>
            <c:showBubbleSize val="0"/>
            <c:showLeaderLines val="1"/>
            <c:extLst>
              <c:ext xmlns:c15="http://schemas.microsoft.com/office/drawing/2012/chart" uri="{CE6537A1-D6FC-4f65-9D91-7224C49458BB}"/>
            </c:extLst>
          </c:dLbls>
          <c:cat>
            <c:strRef>
              <c:f>[Book1.xlsx]Sheet1!$B$33:$B$41</c:f>
              <c:strCache>
                <c:ptCount val="9"/>
                <c:pt idx="0">
                  <c:v>Ryšių paslaugos</c:v>
                </c:pt>
                <c:pt idx="1">
                  <c:v>Transporto išlaikymas</c:v>
                </c:pt>
                <c:pt idx="2">
                  <c:v>Spaudiniai</c:v>
                </c:pt>
                <c:pt idx="3">
                  <c:v>Kitos prekės</c:v>
                </c:pt>
                <c:pt idx="4">
                  <c:v>Komandiruotės</c:v>
                </c:pt>
                <c:pt idx="5">
                  <c:v>Ilgalaikio materialiojo ir nemateraliojo turto nuoma</c:v>
                </c:pt>
                <c:pt idx="6">
                  <c:v>Ilgalaikio materiliojo turto įsigijimas</c:v>
                </c:pt>
                <c:pt idx="7">
                  <c:v>Komunalinės paslaugos</c:v>
                </c:pt>
                <c:pt idx="8">
                  <c:v>Kitos paslaugos</c:v>
                </c:pt>
              </c:strCache>
            </c:strRef>
          </c:cat>
          <c:val>
            <c:numRef>
              <c:f>[Book1.xlsx]Sheet1!$C$33:$C$41</c:f>
              <c:numCache>
                <c:formatCode>0.00</c:formatCode>
                <c:ptCount val="9"/>
                <c:pt idx="0">
                  <c:v>6410</c:v>
                </c:pt>
                <c:pt idx="1">
                  <c:v>540</c:v>
                </c:pt>
                <c:pt idx="2">
                  <c:v>189</c:v>
                </c:pt>
                <c:pt idx="3">
                  <c:v>5796</c:v>
                </c:pt>
                <c:pt idx="4">
                  <c:v>597</c:v>
                </c:pt>
                <c:pt idx="5">
                  <c:v>485</c:v>
                </c:pt>
                <c:pt idx="7">
                  <c:v>6040</c:v>
                </c:pt>
                <c:pt idx="8">
                  <c:v>2343</c:v>
                </c:pt>
              </c:numCache>
            </c:numRef>
          </c:val>
          <c:extLst>
            <c:ext xmlns:c16="http://schemas.microsoft.com/office/drawing/2014/chart" uri="{C3380CC4-5D6E-409C-BE32-E72D297353CC}">
              <c16:uniqueId val="{00000003-AD1D-410D-A96A-BC42FE228A23}"/>
            </c:ext>
          </c:extLst>
        </c:ser>
        <c:dLbls>
          <c:showLegendKey val="0"/>
          <c:showVal val="1"/>
          <c:showCatName val="1"/>
          <c:showSerName val="0"/>
          <c:showPercent val="0"/>
          <c:showBubbleSize val="0"/>
          <c:showLeaderLines val="1"/>
        </c:dLbls>
      </c:pie3DChart>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87C4FF9A-0FC3-458C-89E6-0A23BA791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11345</Words>
  <Characters>6467</Characters>
  <Application>Microsoft Office Word</Application>
  <DocSecurity>0</DocSecurity>
  <Lines>53</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17777</CharactersWithSpaces>
  <SharedDoc>false</SharedDoc>
  <HLinks>
    <vt:vector size="24" baseType="variant">
      <vt:variant>
        <vt:i4>7077995</vt:i4>
      </vt:variant>
      <vt:variant>
        <vt:i4>15</vt:i4>
      </vt:variant>
      <vt:variant>
        <vt:i4>0</vt:i4>
      </vt:variant>
      <vt:variant>
        <vt:i4>5</vt:i4>
      </vt:variant>
      <vt:variant>
        <vt:lpwstr>http://www.pat.lt/</vt:lpwstr>
      </vt:variant>
      <vt:variant>
        <vt:lpwstr/>
      </vt:variant>
      <vt:variant>
        <vt:i4>7405693</vt:i4>
      </vt:variant>
      <vt:variant>
        <vt:i4>12</vt:i4>
      </vt:variant>
      <vt:variant>
        <vt:i4>0</vt:i4>
      </vt:variant>
      <vt:variant>
        <vt:i4>5</vt:i4>
      </vt:variant>
      <vt:variant>
        <vt:lpwstr>http://www.teismai.lt/</vt:lpwstr>
      </vt:variant>
      <vt:variant>
        <vt:lpwstr/>
      </vt:variant>
      <vt:variant>
        <vt:i4>7929912</vt:i4>
      </vt:variant>
      <vt:variant>
        <vt:i4>9</vt:i4>
      </vt:variant>
      <vt:variant>
        <vt:i4>0</vt:i4>
      </vt:variant>
      <vt:variant>
        <vt:i4>5</vt:i4>
      </vt:variant>
      <vt:variant>
        <vt:lpwstr>http://pat.lt/lt/panevezio-miesto-apylinkes-teismas</vt:lpwstr>
      </vt:variant>
      <vt:variant>
        <vt:lpwstr/>
      </vt:variant>
      <vt:variant>
        <vt:i4>7077995</vt:i4>
      </vt:variant>
      <vt:variant>
        <vt:i4>6</vt:i4>
      </vt:variant>
      <vt:variant>
        <vt:i4>0</vt:i4>
      </vt:variant>
      <vt:variant>
        <vt:i4>5</vt:i4>
      </vt:variant>
      <vt:variant>
        <vt:lpwstr>http://www.pat.lt/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Irma Griteniene</cp:lastModifiedBy>
  <cp:revision>3</cp:revision>
  <cp:lastPrinted>2017-02-23T08:39:00Z</cp:lastPrinted>
  <dcterms:created xsi:type="dcterms:W3CDTF">2018-03-08T14:52:00Z</dcterms:created>
  <dcterms:modified xsi:type="dcterms:W3CDTF">2018-03-09T09:30:00Z</dcterms:modified>
</cp:coreProperties>
</file>